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1296"/>
        <w:gridCol w:w="7416"/>
        <w:gridCol w:w="1613"/>
      </w:tblGrid>
      <w:tr>
        <w:tc>
          <w:tcPr>
            <w:tcW w:type="dxa" w:w="1296"/>
            <w:vAlign w:val="center"/>
            <w:tcMar>
              <w:top w:w="0" w:type="dxa"/>
              <w:left w:w="0" w:type="dxa"/>
              <w:bottom w:w="0" w:type="dxa"/>
              <w:right w:w="0" w:type="dxa"/>
            </w:tcMar>
          </w:tcPr>
          <w:p>
            <w:r>
              <w:drawing>
                <wp:inline xmlns:a="http://schemas.openxmlformats.org/drawingml/2006/main" xmlns:pic="http://schemas.openxmlformats.org/drawingml/2006/picture">
                  <wp:extent cx="804672" cy="804672"/>
                  <wp:docPr id="1" name="Picture 1"/>
                  <wp:cNvGraphicFramePr>
                    <a:graphicFrameLocks noChangeAspect="1"/>
                  </wp:cNvGraphicFramePr>
                  <a:graphic>
                    <a:graphicData uri="http://schemas.openxmlformats.org/drawingml/2006/picture">
                      <pic:pic>
                        <pic:nvPicPr>
                          <pic:cNvPr id="0" name="ref-image-2.png"/>
                          <pic:cNvPicPr/>
                        </pic:nvPicPr>
                        <pic:blipFill>
                          <a:blip r:embed="rId12"/>
                          <a:stretch>
                            <a:fillRect/>
                          </a:stretch>
                        </pic:blipFill>
                        <pic:spPr>
                          <a:xfrm>
                            <a:off x="0" y="0"/>
                            <a:ext cx="804672" cy="804672"/>
                          </a:xfrm>
                          <a:prstGeom prst="rect"/>
                        </pic:spPr>
                      </pic:pic>
                    </a:graphicData>
                  </a:graphic>
                </wp:inline>
              </w:drawing>
            </w:r>
          </w:p>
        </w:tc>
        <w:tc>
          <w:tcPr>
            <w:tcW w:type="dxa" w:w="7416"/>
            <w:vAlign w:val="center"/>
            <w:tcMar>
              <w:top w:w="0" w:type="dxa"/>
              <w:left w:w="0" w:type="dxa"/>
              <w:bottom w:w="0" w:type="dxa"/>
              <w:right w:w="0" w:type="dxa"/>
            </w:tcMar>
          </w:tcPr>
          <w:p>
            <w:pPr>
              <w:pStyle w:val="Title"/>
              <w:spacing w:after="80"/>
              <w:jc w:val="center"/>
            </w:pPr>
            <w:r>
              <w:rPr>
                <w:rFonts w:ascii="Arial" w:hAnsi="Arial"/>
                <w:b/>
                <w:color w:val="174766"/>
                <w:sz w:val="46"/>
              </w:rPr>
              <w:t>COMPANY DOCUMENTS</w:t>
              <w:br/>
              <w:t>AND SOP CATALOGUE</w:t>
            </w:r>
          </w:p>
        </w:tc>
        <w:tc>
          <w:tcPr>
            <w:tcW w:type="dxa" w:w="1613"/>
            <w:vAlign w:val="center"/>
            <w:tcMar>
              <w:top w:w="0" w:type="dxa"/>
              <w:left w:w="0" w:type="dxa"/>
              <w:bottom w:w="0" w:type="dxa"/>
              <w:right w:w="0" w:type="dxa"/>
            </w:tcMar>
          </w:tcPr>
          <w:p>
            <w:pPr>
              <w:jc w:val="right"/>
            </w:pPr>
            <w:r>
              <w:drawing>
                <wp:inline xmlns:a="http://schemas.openxmlformats.org/drawingml/2006/main" xmlns:pic="http://schemas.openxmlformats.org/drawingml/2006/picture">
                  <wp:extent cx="1005840" cy="877979"/>
                  <wp:docPr id="2" name="Picture 2"/>
                  <wp:cNvGraphicFramePr>
                    <a:graphicFrameLocks noChangeAspect="1"/>
                  </wp:cNvGraphicFramePr>
                  <a:graphic>
                    <a:graphicData uri="http://schemas.openxmlformats.org/drawingml/2006/picture">
                      <pic:pic>
                        <pic:nvPicPr>
                          <pic:cNvPr id="0" name="ref-image-1.png"/>
                          <pic:cNvPicPr/>
                        </pic:nvPicPr>
                        <pic:blipFill>
                          <a:blip r:embed="rId13"/>
                          <a:stretch>
                            <a:fillRect/>
                          </a:stretch>
                        </pic:blipFill>
                        <pic:spPr>
                          <a:xfrm>
                            <a:off x="0" y="0"/>
                            <a:ext cx="1005840" cy="877979"/>
                          </a:xfrm>
                          <a:prstGeom prst="rect"/>
                        </pic:spPr>
                      </pic:pic>
                    </a:graphicData>
                  </a:graphic>
                </wp:inline>
              </w:drawing>
            </w:r>
          </w:p>
        </w:tc>
      </w:tr>
    </w:tbl>
    <w:p>
      <w:pPr>
        <w:keepNext w:val="0"/>
        <w:spacing w:before="0" w:after="100" w:line="259" w:lineRule="auto"/>
        <w:jc w:val="center"/>
      </w:pPr>
      <w:r>
        <w:rPr>
          <w:rFonts w:ascii="Arial" w:hAnsi="Arial"/>
          <w:b/>
          <w:color w:val="174766"/>
          <w:sz w:val="28"/>
        </w:rPr>
        <w:t>FOR BUSINESSES WORLDWIDE</w:t>
      </w:r>
    </w:p>
    <w:p>
      <w:pPr>
        <w:keepNext w:val="0"/>
        <w:spacing w:before="0" w:after="280" w:line="259" w:lineRule="auto"/>
        <w:jc w:val="center"/>
      </w:pPr>
      <w:r>
        <w:rPr>
          <w:rFonts w:ascii="Arial" w:hAnsi="Arial"/>
          <w:b w:val="0"/>
          <w:color w:val="222222"/>
          <w:sz w:val="21"/>
        </w:rPr>
        <w:t>100 document titles  |  Full lifecycle  |  Serving businesses worldwide</w:t>
      </w:r>
    </w:p>
    <w:p>
      <w:pPr>
        <w:pStyle w:val="Heading1"/>
        <w:keepNext/>
        <w:spacing w:before="240" w:after="200" w:line="259" w:lineRule="auto"/>
        <w:shd w:fill="E7F3F0"/>
        <w:ind w:left="173" w:right="115"/>
        <w:pBdr>
          <w:top w:val="single" w:sz="1" w:space="7" w:color="E7F3F0"/>
          <w:bottom w:val="single" w:sz="1" w:space="7" w:color="E7F3F0"/>
        </w:pBdr>
      </w:pPr>
      <w:r>
        <w:rPr>
          <w:rFonts w:ascii="Arial" w:hAnsi="Arial"/>
          <w:b/>
          <w:color w:val="174766"/>
          <w:sz w:val="34"/>
        </w:rPr>
        <w:t>A practical foundation for your company</w:t>
      </w:r>
    </w:p>
    <w:p>
      <w:pPr>
        <w:keepNext w:val="0"/>
        <w:spacing w:before="0" w:after="140" w:line="259" w:lineRule="auto"/>
      </w:pPr>
      <w:r>
        <w:rPr>
          <w:rFonts w:ascii="Arial" w:hAnsi="Arial"/>
          <w:b w:val="0"/>
          <w:color w:val="222222"/>
          <w:sz w:val="22"/>
        </w:rPr>
        <w:t>Clear company documents help people make consistent decisions, understand their responsibilities and carry out work with the right controls. This Tara Nawa catalogue brings together 100 document titles for businesses across sectors and countries. It combines company-wide essentials with specialist titles selected for your activities and risks.</w:t>
      </w:r>
    </w:p>
    <w:p>
      <w:pPr>
        <w:keepNext w:val="0"/>
        <w:spacing w:before="0" w:after="140" w:line="259" w:lineRule="auto"/>
      </w:pPr>
      <w:r>
        <w:rPr>
          <w:rFonts w:ascii="Arial" w:hAnsi="Arial"/>
          <w:b w:val="0"/>
          <w:color w:val="222222"/>
          <w:sz w:val="22"/>
        </w:rPr>
        <w:t>Use the catalogue to identify what your business needs, strengthen an existing management system or scope a tailored documentation project. Each entry explains the proposed content and identifies the departments that would use or maintain it.</w:t>
      </w:r>
    </w:p>
    <w:p>
      <w:pPr>
        <w:pStyle w:val="Heading1"/>
        <w:keepNext/>
        <w:spacing w:before="240" w:after="200" w:line="259" w:lineRule="auto"/>
        <w:shd w:fill="E7F3F0"/>
        <w:ind w:left="173" w:right="115"/>
        <w:pBdr>
          <w:top w:val="single" w:sz="1" w:space="7" w:color="E7F3F0"/>
          <w:bottom w:val="single" w:sz="1" w:space="7" w:color="E7F3F0"/>
        </w:pBdr>
      </w:pPr>
      <w:r>
        <w:rPr>
          <w:rFonts w:ascii="Arial" w:hAnsi="Arial"/>
          <w:b/>
          <w:color w:val="174766"/>
          <w:sz w:val="34"/>
        </w:rPr>
        <w:t>Produced in your company branding</w:t>
      </w:r>
    </w:p>
    <w:p>
      <w:pPr>
        <w:keepNext w:val="0"/>
        <w:spacing w:before="0" w:after="140" w:line="259" w:lineRule="auto"/>
      </w:pPr>
      <w:r>
        <w:rPr>
          <w:rFonts w:ascii="Arial" w:hAnsi="Arial"/>
          <w:b w:val="0"/>
          <w:color w:val="222222"/>
          <w:sz w:val="21"/>
        </w:rPr>
        <w:t>Your logo, brand colours, fonts, headers, footers and preferred templates are applied to the documents we produce. Content is tailored to your business, sector and applicable country requirements.</w:t>
      </w:r>
    </w:p>
    <w:p>
      <w:pPr>
        <w:pStyle w:val="Heading1"/>
        <w:keepNext/>
        <w:spacing w:before="240" w:after="200" w:line="259" w:lineRule="auto"/>
        <w:shd w:fill="E7F3F0"/>
        <w:ind w:left="173" w:right="115"/>
        <w:pBdr>
          <w:top w:val="single" w:sz="1" w:space="7" w:color="E7F3F0"/>
          <w:bottom w:val="single" w:sz="1" w:space="7" w:color="E7F3F0"/>
        </w:pBdr>
      </w:pPr>
      <w:r>
        <w:rPr>
          <w:rFonts w:ascii="Arial" w:hAnsi="Arial"/>
          <w:b/>
          <w:color w:val="174766"/>
          <w:sz w:val="34"/>
        </w:rPr>
        <w:t>The value to your organisation</w:t>
      </w:r>
    </w:p>
    <w:p>
      <w:pPr>
        <w:keepNext w:val="0"/>
        <w:spacing w:before="0" w:after="120" w:line="259" w:lineRule="auto"/>
        <w:ind w:left="216" w:hanging="216"/>
      </w:pPr>
      <w:r>
        <w:rPr>
          <w:rFonts w:ascii="Arial" w:hAnsi="Arial"/>
          <w:b w:val="0"/>
          <w:color w:val="222222"/>
          <w:sz w:val="22"/>
        </w:rPr>
        <w:t xml:space="preserve">• </w:t>
      </w:r>
      <w:r>
        <w:rPr>
          <w:rFonts w:ascii="Arial" w:hAnsi="Arial"/>
          <w:b/>
          <w:color w:val="222222"/>
          <w:sz w:val="22"/>
        </w:rPr>
        <w:t xml:space="preserve">Clear accountability. </w:t>
      </w:r>
      <w:r>
        <w:rPr>
          <w:rFonts w:ascii="Arial" w:hAnsi="Arial"/>
          <w:b w:val="0"/>
          <w:color w:val="222222"/>
          <w:sz w:val="22"/>
        </w:rPr>
        <w:t>Define who approves, performs, checks and records each activity.</w:t>
      </w:r>
    </w:p>
    <w:p>
      <w:pPr>
        <w:keepNext w:val="0"/>
        <w:spacing w:before="0" w:after="120" w:line="259" w:lineRule="auto"/>
        <w:ind w:left="216" w:hanging="216"/>
      </w:pPr>
      <w:r>
        <w:rPr>
          <w:rFonts w:ascii="Arial" w:hAnsi="Arial"/>
          <w:b w:val="0"/>
          <w:color w:val="222222"/>
          <w:sz w:val="22"/>
        </w:rPr>
        <w:t xml:space="preserve">• </w:t>
      </w:r>
      <w:r>
        <w:rPr>
          <w:rFonts w:ascii="Arial" w:hAnsi="Arial"/>
          <w:b/>
          <w:color w:val="222222"/>
          <w:sz w:val="22"/>
        </w:rPr>
        <w:t xml:space="preserve">Consistent execution. </w:t>
      </w:r>
      <w:r>
        <w:rPr>
          <w:rFonts w:ascii="Arial" w:hAnsi="Arial"/>
          <w:b w:val="0"/>
          <w:color w:val="222222"/>
          <w:sz w:val="22"/>
        </w:rPr>
        <w:t>Give office teams, sites and contractors a shared way of working.</w:t>
      </w:r>
    </w:p>
    <w:p>
      <w:pPr>
        <w:pStyle w:val="Heading1"/>
        <w:keepNext/>
        <w:spacing w:before="240" w:after="200" w:line="259" w:lineRule="auto"/>
        <w:shd w:fill="E7F3F0"/>
        <w:ind w:left="173" w:right="115"/>
        <w:pBdr>
          <w:top w:val="single" w:sz="1" w:space="7" w:color="E7F3F0"/>
          <w:bottom w:val="single" w:sz="1" w:space="7" w:color="E7F3F0"/>
        </w:pBdr>
      </w:pPr>
      <w:r>
        <w:rPr>
          <w:rFonts w:ascii="Arial" w:hAnsi="Arial"/>
          <w:b/>
          <w:color w:val="174766"/>
          <w:sz w:val="34"/>
        </w:rPr>
        <w:t>Company wide coverage</w:t>
      </w:r>
    </w:p>
    <w:p>
      <w:pPr>
        <w:keepNext w:val="0"/>
        <w:spacing w:before="0" w:after="140" w:line="259" w:lineRule="auto"/>
      </w:pPr>
      <w:r>
        <w:rPr>
          <w:rFonts w:ascii="Arial" w:hAnsi="Arial"/>
          <w:b w:val="0"/>
          <w:color w:val="222222"/>
          <w:sz w:val="21"/>
        </w:rPr>
        <w:t>Governance and legal • HR • Finance and tax • Supply chain and logistics • Exploration and mining • Processing • Projects and engineering • Maintenance and quality • Safety and health • Security • Environment and communities • Closure • IT and data • Sales and marketing • Administration and facilities.</w:t>
      </w:r>
    </w:p>
    <w:p>
      <w:pPr>
        <w:pStyle w:val="Heading1"/>
        <w:keepNext/>
        <w:spacing w:before="240" w:after="200" w:line="259" w:lineRule="auto"/>
        <w:shd w:fill="E7F3F0"/>
        <w:ind w:left="173" w:right="115"/>
        <w:pBdr>
          <w:top w:val="single" w:sz="1" w:space="7" w:color="E7F3F0"/>
          <w:bottom w:val="single" w:sz="1" w:space="7" w:color="E7F3F0"/>
        </w:pBdr>
      </w:pPr>
      <w:r>
        <w:rPr>
          <w:rFonts w:ascii="Arial" w:hAnsi="Arial"/>
          <w:b/>
          <w:color w:val="174766"/>
          <w:sz w:val="34"/>
        </w:rPr>
        <w:t>How to use the catalogue</w:t>
      </w:r>
    </w:p>
    <w:p>
      <w:pPr>
        <w:keepNext w:val="0"/>
        <w:spacing w:before="0" w:after="140" w:line="259" w:lineRule="auto"/>
      </w:pPr>
      <w:r>
        <w:rPr>
          <w:rFonts w:ascii="Arial" w:hAnsi="Arial"/>
          <w:b w:val="0"/>
          <w:color w:val="222222"/>
          <w:sz w:val="21"/>
        </w:rPr>
        <w:t>Select titles by department and lifecycle stage. Some entries are frameworks or coordinated procedure suites; detailed task instructions and supporting forms are defined during scoping. Specialist titles apply only where relevant to your sector, activities and risks.</w:t>
      </w:r>
    </w:p>
    <w:p>
      <w:pPr>
        <w:keepNext w:val="0"/>
        <w:spacing w:before="0" w:after="140" w:line="259" w:lineRule="auto"/>
      </w:pPr>
      <w:r>
        <w:rPr>
          <w:rFonts w:ascii="Arial" w:hAnsi="Arial"/>
          <w:b w:val="0"/>
          <w:color w:val="222222"/>
          <w:sz w:val="21"/>
        </w:rPr>
        <w:t>Country laws, permit conditions, employment arrangements and site standards are built into the selected documents during customisation. The department names indicate applicable functions and can be matched to your organisation structure.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065"/>
        <w:gridCol w:w="2065"/>
        <w:gridCol w:w="2065"/>
        <w:gridCol w:w="2065"/>
        <w:gridCol w:w="2065"/>
      </w:tblGrid>
      <w:tr>
        <w:tc>
          <w:tcPr>
            <w:tcW w:type="dxa" w:w="2065"/>
            <w:tcMar>
              <w:top w:w="180" w:type="dxa"/>
              <w:left w:w="80" w:type="dxa"/>
              <w:bottom w:w="180" w:type="dxa"/>
              <w:right w:w="80" w:type="dxa"/>
            </w:tcMar>
            <w:shd w:fill="DEF5EF"/>
          </w:tcPr>
          <w:p>
            <w:pPr>
              <w:spacing w:after="0"/>
              <w:jc w:val="center"/>
            </w:pPr>
            <w:r>
              <w:rPr>
                <w:rFonts w:ascii="Arial" w:hAnsi="Arial"/>
                <w:b/>
                <w:color w:val="08746E"/>
                <w:sz w:val="16"/>
              </w:rPr>
              <w:t>01  PLAN</w:t>
            </w:r>
          </w:p>
        </w:tc>
        <w:tc>
          <w:tcPr>
            <w:tcW w:type="dxa" w:w="2065"/>
            <w:tcMar>
              <w:top w:w="180" w:type="dxa"/>
              <w:left w:w="80" w:type="dxa"/>
              <w:bottom w:w="180" w:type="dxa"/>
              <w:right w:w="80" w:type="dxa"/>
            </w:tcMar>
            <w:shd w:fill="FFF3D7"/>
          </w:tcPr>
          <w:p>
            <w:pPr>
              <w:spacing w:after="0"/>
              <w:jc w:val="center"/>
            </w:pPr>
            <w:r>
              <w:rPr>
                <w:rFonts w:ascii="Arial" w:hAnsi="Arial"/>
                <w:b/>
                <w:color w:val="956213"/>
                <w:sz w:val="16"/>
              </w:rPr>
              <w:t>02  BUILD</w:t>
            </w:r>
          </w:p>
        </w:tc>
        <w:tc>
          <w:tcPr>
            <w:tcW w:type="dxa" w:w="2065"/>
            <w:tcMar>
              <w:top w:w="180" w:type="dxa"/>
              <w:left w:w="80" w:type="dxa"/>
              <w:bottom w:w="180" w:type="dxa"/>
              <w:right w:w="80" w:type="dxa"/>
            </w:tcMar>
            <w:shd w:fill="ECEFFF"/>
          </w:tcPr>
          <w:p>
            <w:pPr>
              <w:spacing w:after="0"/>
              <w:jc w:val="center"/>
            </w:pPr>
            <w:r>
              <w:rPr>
                <w:rFonts w:ascii="Arial" w:hAnsi="Arial"/>
                <w:b/>
                <w:color w:val="4D60A1"/>
                <w:sz w:val="16"/>
              </w:rPr>
              <w:t>03  OPERATE</w:t>
            </w:r>
          </w:p>
        </w:tc>
        <w:tc>
          <w:tcPr>
            <w:tcW w:type="dxa" w:w="2065"/>
            <w:tcMar>
              <w:top w:w="180" w:type="dxa"/>
              <w:left w:w="80" w:type="dxa"/>
              <w:bottom w:w="180" w:type="dxa"/>
              <w:right w:w="80" w:type="dxa"/>
            </w:tcMar>
            <w:shd w:fill="FFF0DF"/>
          </w:tcPr>
          <w:p>
            <w:pPr>
              <w:spacing w:after="0"/>
              <w:jc w:val="center"/>
            </w:pPr>
            <w:r>
              <w:rPr>
                <w:rFonts w:ascii="Arial" w:hAnsi="Arial"/>
                <w:b/>
                <w:color w:val="9B512B"/>
                <w:sz w:val="16"/>
              </w:rPr>
              <w:t>04  IMPROVE</w:t>
            </w:r>
          </w:p>
        </w:tc>
        <w:tc>
          <w:tcPr>
            <w:tcW w:type="dxa" w:w="2065"/>
            <w:tcMar>
              <w:top w:w="180" w:type="dxa"/>
              <w:left w:w="80" w:type="dxa"/>
              <w:bottom w:w="180" w:type="dxa"/>
              <w:right w:w="80" w:type="dxa"/>
            </w:tcMar>
            <w:shd w:fill="EAF5DF"/>
          </w:tcPr>
          <w:p>
            <w:pPr>
              <w:spacing w:after="0"/>
              <w:jc w:val="center"/>
            </w:pPr>
            <w:r>
              <w:rPr>
                <w:rFonts w:ascii="Arial" w:hAnsi="Arial"/>
                <w:b/>
                <w:color w:val="3D763E"/>
                <w:sz w:val="16"/>
              </w:rPr>
              <w:t>05  TRANSITION</w:t>
            </w:r>
          </w:p>
        </w:tc>
      </w:tr>
    </w:tbl>
    <w:p>
      <w:r>
        <w:br w:type="page"/>
      </w:r>
    </w:p>
    <w:p>
      <w:pPr>
        <w:keepNext w:val="0"/>
        <w:spacing w:before="0" w:after="80" w:line="259" w:lineRule="auto"/>
      </w:pPr>
      <w:r>
        <w:rPr>
          <w:rFonts w:ascii="Arial" w:hAnsi="Arial"/>
          <w:b/>
          <w:color w:val="305F91"/>
          <w:sz w:val="18"/>
        </w:rPr>
        <w:t>CATALOGUE  01 / 10     |     10 DOCUMENTS</w:t>
      </w:r>
    </w:p>
    <w:p>
      <w:pPr>
        <w:pStyle w:val="Heading1"/>
        <w:keepNext/>
        <w:spacing w:before="240" w:after="200" w:line="259" w:lineRule="auto"/>
        <w:shd w:fill="E9F1FC"/>
        <w:ind w:left="173" w:right="115"/>
        <w:pBdr>
          <w:top w:val="single" w:sz="1" w:space="7" w:color="E9F1FC"/>
          <w:bottom w:val="single" w:sz="1" w:space="7" w:color="E9F1FC"/>
        </w:pBdr>
      </w:pPr>
      <w:r>
        <w:rPr>
          <w:rFonts w:ascii="Arial" w:hAnsi="Arial"/>
          <w:b/>
          <w:color w:val="305F91"/>
          <w:sz w:val="34"/>
        </w:rPr>
        <w:t>Governance legal and business assurance</w:t>
      </w:r>
    </w:p>
    <w:p>
      <w:pPr>
        <w:keepNext w:val="0"/>
        <w:spacing w:before="0" w:after="220" w:line="259" w:lineRule="auto"/>
      </w:pPr>
      <w:r>
        <w:rPr>
          <w:rFonts w:ascii="Arial" w:hAnsi="Arial"/>
          <w:b w:val="0"/>
          <w:color w:val="555555"/>
          <w:sz w:val="22"/>
        </w:rPr>
        <w:t>Company direction, decision rights and accountability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53"/>
        <w:gridCol w:w="1843"/>
        <w:gridCol w:w="5429"/>
      </w:tblGrid>
      <w:tr>
        <w:trPr>
          <w:tblHeader/>
          <w:cantSplit/>
        </w:trPr>
        <w:tc>
          <w:tcPr>
            <w:tcW w:type="dxa" w:w="3053"/>
            <w:vAlign w:val="center"/>
            <w:tcMar>
              <w:top w:w="100" w:type="dxa"/>
              <w:left w:w="100" w:type="dxa"/>
              <w:bottom w:w="100" w:type="dxa"/>
              <w:right w:w="100" w:type="dxa"/>
            </w:tcMar>
            <w:shd w:fill="305F91"/>
          </w:tcPr>
          <w:p>
            <w:pPr>
              <w:spacing w:after="0" w:line="245" w:lineRule="auto"/>
            </w:pPr>
            <w:r>
              <w:rPr>
                <w:rFonts w:ascii="Arial" w:hAnsi="Arial"/>
                <w:b/>
                <w:color w:val="FFFFFF"/>
                <w:sz w:val="21"/>
              </w:rPr>
              <w:t>Document title</w:t>
            </w:r>
          </w:p>
        </w:tc>
        <w:tc>
          <w:tcPr>
            <w:tcW w:type="dxa" w:w="1843"/>
            <w:vAlign w:val="center"/>
            <w:tcMar>
              <w:top w:w="100" w:type="dxa"/>
              <w:left w:w="100" w:type="dxa"/>
              <w:bottom w:w="100" w:type="dxa"/>
              <w:right w:w="100" w:type="dxa"/>
            </w:tcMar>
            <w:shd w:fill="305F91"/>
          </w:tcPr>
          <w:p>
            <w:pPr>
              <w:spacing w:after="0" w:line="245" w:lineRule="auto"/>
            </w:pPr>
            <w:r>
              <w:rPr>
                <w:rFonts w:ascii="Arial" w:hAnsi="Arial"/>
                <w:b/>
                <w:color w:val="FFFFFF"/>
                <w:sz w:val="21"/>
              </w:rPr>
              <w:t>Applicable departments</w:t>
            </w:r>
          </w:p>
        </w:tc>
        <w:tc>
          <w:tcPr>
            <w:tcW w:type="dxa" w:w="5429"/>
            <w:vAlign w:val="center"/>
            <w:tcMar>
              <w:top w:w="100" w:type="dxa"/>
              <w:left w:w="100" w:type="dxa"/>
              <w:bottom w:w="100" w:type="dxa"/>
              <w:right w:w="100" w:type="dxa"/>
            </w:tcMar>
            <w:shd w:fill="305F91"/>
          </w:tcPr>
          <w:p>
            <w:pPr>
              <w:spacing w:after="0" w:line="245" w:lineRule="auto"/>
            </w:pPr>
            <w:r>
              <w:rPr>
                <w:rFonts w:ascii="Arial" w:hAnsi="Arial"/>
                <w:b/>
                <w:color w:val="FFFFFF"/>
                <w:sz w:val="21"/>
              </w:rPr>
              <w:t>What the document contains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TN-001  Board Governance and Decision Authority Framework</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Board / Executive</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Board and committee mandates, reserved decisions, delegated approvals, shareholder records, conflicts declarations and secure decision logs across the business.</w:t>
            </w:r>
          </w:p>
        </w:tc>
      </w:tr>
      <w:tr>
        <w:trPr>
          <w:cantSplit/>
        </w:trPr>
        <w:tc>
          <w:tcPr>
            <w:tcW w:type="dxa" w:w="3053"/>
            <w:vAlign w:val="center"/>
            <w:tcMar>
              <w:top w:w="85" w:type="dxa"/>
              <w:left w:w="100" w:type="dxa"/>
              <w:bottom w:w="85" w:type="dxa"/>
              <w:right w:w="100" w:type="dxa"/>
            </w:tcMar>
            <w:shd w:fill="E9F1FC"/>
          </w:tcPr>
          <w:p>
            <w:pPr>
              <w:spacing w:after="0" w:line="247" w:lineRule="auto"/>
            </w:pPr>
            <w:r>
              <w:rPr>
                <w:rFonts w:ascii="Arial" w:hAnsi="Arial"/>
                <w:b/>
                <w:color w:val="222222"/>
                <w:sz w:val="21"/>
              </w:rPr>
              <w:t>TN-002  Corporate Strategy and Performance Review Plan</w:t>
            </w:r>
          </w:p>
        </w:tc>
        <w:tc>
          <w:tcPr>
            <w:tcW w:type="dxa" w:w="1843"/>
            <w:vAlign w:val="center"/>
            <w:tcMar>
              <w:top w:w="85" w:type="dxa"/>
              <w:left w:w="100" w:type="dxa"/>
              <w:bottom w:w="85" w:type="dxa"/>
              <w:right w:w="100" w:type="dxa"/>
            </w:tcMar>
            <w:shd w:fill="E9F1FC"/>
          </w:tcPr>
          <w:p>
            <w:pPr>
              <w:spacing w:after="0" w:line="247" w:lineRule="auto"/>
            </w:pPr>
            <w:r>
              <w:rPr>
                <w:rFonts w:ascii="Arial" w:hAnsi="Arial"/>
                <w:b w:val="0"/>
                <w:color w:val="222222"/>
                <w:sz w:val="21"/>
              </w:rPr>
              <w:t>Executive / Strategy</w:t>
            </w:r>
          </w:p>
        </w:tc>
        <w:tc>
          <w:tcPr>
            <w:tcW w:type="dxa" w:w="5429"/>
            <w:vAlign w:val="center"/>
            <w:tcMar>
              <w:top w:w="85" w:type="dxa"/>
              <w:left w:w="100" w:type="dxa"/>
              <w:bottom w:w="85" w:type="dxa"/>
              <w:right w:w="100" w:type="dxa"/>
            </w:tcMar>
            <w:shd w:fill="E9F1FC"/>
          </w:tcPr>
          <w:p>
            <w:pPr>
              <w:spacing w:after="0" w:line="247" w:lineRule="auto"/>
            </w:pPr>
            <w:r>
              <w:rPr>
                <w:rFonts w:ascii="Arial" w:hAnsi="Arial"/>
                <w:b w:val="0"/>
                <w:color w:val="222222"/>
                <w:sz w:val="21"/>
              </w:rPr>
              <w:t>Strategic priorities, business plans, measurable objectives, accountable owners, performance dashboards and review cycles linking corporate targets to site delivery.</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TN-003  Business Integrity and Speak Up Policy</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Ethics / Legal</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Anti-bribery rules, gifts, conflicts of interest, fraud prevention, confidential reporting, independent investigations and protection against retaliation.</w:t>
            </w:r>
          </w:p>
        </w:tc>
      </w:tr>
      <w:tr>
        <w:trPr>
          <w:cantSplit/>
        </w:trPr>
        <w:tc>
          <w:tcPr>
            <w:tcW w:type="dxa" w:w="3053"/>
            <w:vAlign w:val="center"/>
            <w:tcMar>
              <w:top w:w="85" w:type="dxa"/>
              <w:left w:w="100" w:type="dxa"/>
              <w:bottom w:w="85" w:type="dxa"/>
              <w:right w:w="100" w:type="dxa"/>
            </w:tcMar>
            <w:shd w:fill="E9F1FC"/>
          </w:tcPr>
          <w:p>
            <w:pPr>
              <w:spacing w:after="0" w:line="247" w:lineRule="auto"/>
            </w:pPr>
            <w:r>
              <w:rPr>
                <w:rFonts w:ascii="Arial" w:hAnsi="Arial"/>
                <w:b/>
                <w:color w:val="222222"/>
                <w:sz w:val="21"/>
              </w:rPr>
              <w:t>TN-004  Enterprise Risk and Business Continuity Plan</w:t>
            </w:r>
          </w:p>
        </w:tc>
        <w:tc>
          <w:tcPr>
            <w:tcW w:type="dxa" w:w="1843"/>
            <w:vAlign w:val="center"/>
            <w:tcMar>
              <w:top w:w="85" w:type="dxa"/>
              <w:left w:w="100" w:type="dxa"/>
              <w:bottom w:w="85" w:type="dxa"/>
              <w:right w:w="100" w:type="dxa"/>
            </w:tcMar>
            <w:shd w:fill="E9F1FC"/>
          </w:tcPr>
          <w:p>
            <w:pPr>
              <w:spacing w:after="0" w:line="247" w:lineRule="auto"/>
            </w:pPr>
            <w:r>
              <w:rPr>
                <w:rFonts w:ascii="Arial" w:hAnsi="Arial"/>
                <w:b w:val="0"/>
                <w:color w:val="222222"/>
                <w:sz w:val="21"/>
              </w:rPr>
              <w:t>Risk / Executive</w:t>
            </w:r>
          </w:p>
        </w:tc>
        <w:tc>
          <w:tcPr>
            <w:tcW w:type="dxa" w:w="5429"/>
            <w:vAlign w:val="center"/>
            <w:tcMar>
              <w:top w:w="85" w:type="dxa"/>
              <w:left w:w="100" w:type="dxa"/>
              <w:bottom w:w="85" w:type="dxa"/>
              <w:right w:w="100" w:type="dxa"/>
            </w:tcMar>
            <w:shd w:fill="E9F1FC"/>
          </w:tcPr>
          <w:p>
            <w:pPr>
              <w:spacing w:after="0" w:line="247" w:lineRule="auto"/>
            </w:pPr>
            <w:r>
              <w:rPr>
                <w:rFonts w:ascii="Arial" w:hAnsi="Arial"/>
                <w:b w:val="0"/>
                <w:color w:val="222222"/>
                <w:sz w:val="21"/>
              </w:rPr>
              <w:t>Risk appetite, enterprise risk registers, disruption scenarios, critical dependencies, continuity arrangements, recovery priorities and exercises to test business resilience.</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TN-005  Contract Lifecycle and Legal Matters Procedure</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Legal / Commercial</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Contract drafting, legal review, authorised signatures, obligation tracking, variations, claims, dispute escalation and protection of intellectual property.</w:t>
            </w:r>
          </w:p>
        </w:tc>
      </w:tr>
    </w:tbl>
    <w:p>
      <w:r>
        <w:br w:type="page"/>
      </w:r>
    </w:p>
    <w:p>
      <w:pPr>
        <w:keepNext w:val="0"/>
        <w:spacing w:before="0" w:after="80" w:line="259" w:lineRule="auto"/>
      </w:pPr>
      <w:r>
        <w:rPr>
          <w:rFonts w:ascii="Arial" w:hAnsi="Arial"/>
          <w:b/>
          <w:color w:val="305F91"/>
          <w:sz w:val="18"/>
        </w:rPr>
        <w:t>CATALOGUE  01 / 10     |     10 DOCUMENTS</w:t>
      </w:r>
    </w:p>
    <w:p>
      <w:pPr>
        <w:pStyle w:val="Heading1"/>
        <w:keepNext/>
        <w:spacing w:before="240" w:after="200" w:line="259" w:lineRule="auto"/>
        <w:shd w:fill="E9F1FC"/>
        <w:ind w:left="173" w:right="115"/>
        <w:pBdr>
          <w:top w:val="single" w:sz="1" w:space="7" w:color="E9F1FC"/>
          <w:bottom w:val="single" w:sz="1" w:space="7" w:color="E9F1FC"/>
        </w:pBdr>
      </w:pPr>
      <w:r>
        <w:rPr>
          <w:rFonts w:ascii="Arial" w:hAnsi="Arial"/>
          <w:b/>
          <w:color w:val="305F91"/>
          <w:sz w:val="34"/>
        </w:rPr>
        <w:t>Governance legal and business assurance continued</w:t>
      </w:r>
    </w:p>
    <w:p>
      <w:pPr>
        <w:keepNext w:val="0"/>
        <w:spacing w:before="0" w:after="220" w:line="259" w:lineRule="auto"/>
      </w:pPr>
      <w:r>
        <w:rPr>
          <w:rFonts w:ascii="Arial" w:hAnsi="Arial"/>
          <w:b w:val="0"/>
          <w:color w:val="555555"/>
          <w:sz w:val="22"/>
        </w:rPr>
        <w:t>Company direction, decision rights and accountability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53"/>
        <w:gridCol w:w="1843"/>
        <w:gridCol w:w="5429"/>
      </w:tblGrid>
      <w:tr>
        <w:trPr>
          <w:tblHeader/>
          <w:cantSplit/>
        </w:trPr>
        <w:tc>
          <w:tcPr>
            <w:tcW w:type="dxa" w:w="3053"/>
            <w:vAlign w:val="center"/>
            <w:tcMar>
              <w:top w:w="100" w:type="dxa"/>
              <w:left w:w="100" w:type="dxa"/>
              <w:bottom w:w="100" w:type="dxa"/>
              <w:right w:w="100" w:type="dxa"/>
            </w:tcMar>
            <w:shd w:fill="305F91"/>
          </w:tcPr>
          <w:p>
            <w:pPr>
              <w:spacing w:after="0" w:line="245" w:lineRule="auto"/>
            </w:pPr>
            <w:r>
              <w:rPr>
                <w:rFonts w:ascii="Arial" w:hAnsi="Arial"/>
                <w:b/>
                <w:color w:val="FFFFFF"/>
                <w:sz w:val="21"/>
              </w:rPr>
              <w:t>Document title</w:t>
            </w:r>
          </w:p>
        </w:tc>
        <w:tc>
          <w:tcPr>
            <w:tcW w:type="dxa" w:w="1843"/>
            <w:vAlign w:val="center"/>
            <w:tcMar>
              <w:top w:w="100" w:type="dxa"/>
              <w:left w:w="100" w:type="dxa"/>
              <w:bottom w:w="100" w:type="dxa"/>
              <w:right w:w="100" w:type="dxa"/>
            </w:tcMar>
            <w:shd w:fill="305F91"/>
          </w:tcPr>
          <w:p>
            <w:pPr>
              <w:spacing w:after="0" w:line="245" w:lineRule="auto"/>
            </w:pPr>
            <w:r>
              <w:rPr>
                <w:rFonts w:ascii="Arial" w:hAnsi="Arial"/>
                <w:b/>
                <w:color w:val="FFFFFF"/>
                <w:sz w:val="21"/>
              </w:rPr>
              <w:t>Applicable departments</w:t>
            </w:r>
          </w:p>
        </w:tc>
        <w:tc>
          <w:tcPr>
            <w:tcW w:type="dxa" w:w="5429"/>
            <w:vAlign w:val="center"/>
            <w:tcMar>
              <w:top w:w="100" w:type="dxa"/>
              <w:left w:w="100" w:type="dxa"/>
              <w:bottom w:w="100" w:type="dxa"/>
              <w:right w:w="100" w:type="dxa"/>
            </w:tcMar>
            <w:shd w:fill="305F91"/>
          </w:tcPr>
          <w:p>
            <w:pPr>
              <w:spacing w:after="0" w:line="245" w:lineRule="auto"/>
            </w:pPr>
            <w:r>
              <w:rPr>
                <w:rFonts w:ascii="Arial" w:hAnsi="Arial"/>
                <w:b/>
                <w:color w:val="FFFFFF"/>
                <w:sz w:val="21"/>
              </w:rPr>
              <w:t>What the document contains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TN-006  Licence Permit and Compliance Obligations Register</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Legal / Compliance</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Country and site obligations, mineral rights, land access, environmental approvals, labour requirements, filing dates, renewal alerts and evidence of compliance.</w:t>
            </w:r>
          </w:p>
        </w:tc>
      </w:tr>
      <w:tr>
        <w:trPr>
          <w:cantSplit/>
        </w:trPr>
        <w:tc>
          <w:tcPr>
            <w:tcW w:type="dxa" w:w="3053"/>
            <w:vAlign w:val="center"/>
            <w:tcMar>
              <w:top w:w="85" w:type="dxa"/>
              <w:left w:w="100" w:type="dxa"/>
              <w:bottom w:w="85" w:type="dxa"/>
              <w:right w:w="100" w:type="dxa"/>
            </w:tcMar>
            <w:shd w:fill="E9F1FC"/>
          </w:tcPr>
          <w:p>
            <w:pPr>
              <w:spacing w:after="0" w:line="247" w:lineRule="auto"/>
            </w:pPr>
            <w:r>
              <w:rPr>
                <w:rFonts w:ascii="Arial" w:hAnsi="Arial"/>
                <w:b/>
                <w:color w:val="222222"/>
                <w:sz w:val="21"/>
              </w:rPr>
              <w:t>TN-007  Digital Document and Records Lifecycle Procedure</w:t>
            </w:r>
          </w:p>
        </w:tc>
        <w:tc>
          <w:tcPr>
            <w:tcW w:type="dxa" w:w="1843"/>
            <w:vAlign w:val="center"/>
            <w:tcMar>
              <w:top w:w="85" w:type="dxa"/>
              <w:left w:w="100" w:type="dxa"/>
              <w:bottom w:w="85" w:type="dxa"/>
              <w:right w:w="100" w:type="dxa"/>
            </w:tcMar>
            <w:shd w:fill="E9F1FC"/>
          </w:tcPr>
          <w:p>
            <w:pPr>
              <w:spacing w:after="0" w:line="247" w:lineRule="auto"/>
            </w:pPr>
            <w:r>
              <w:rPr>
                <w:rFonts w:ascii="Arial" w:hAnsi="Arial"/>
                <w:b w:val="0"/>
                <w:color w:val="222222"/>
                <w:sz w:val="21"/>
              </w:rPr>
              <w:t>Governance / All departments</w:t>
            </w:r>
          </w:p>
        </w:tc>
        <w:tc>
          <w:tcPr>
            <w:tcW w:type="dxa" w:w="5429"/>
            <w:vAlign w:val="center"/>
            <w:tcMar>
              <w:top w:w="85" w:type="dxa"/>
              <w:left w:w="100" w:type="dxa"/>
              <w:bottom w:w="85" w:type="dxa"/>
              <w:right w:w="100" w:type="dxa"/>
            </w:tcMar>
            <w:shd w:fill="E9F1FC"/>
          </w:tcPr>
          <w:p>
            <w:pPr>
              <w:spacing w:after="0" w:line="247" w:lineRule="auto"/>
            </w:pPr>
            <w:r>
              <w:rPr>
                <w:rFonts w:ascii="Arial" w:hAnsi="Arial"/>
                <w:b w:val="0"/>
                <w:color w:val="222222"/>
                <w:sz w:val="21"/>
              </w:rPr>
              <w:t>Document ownership, electronic approval, version control, mobile access, retention schedules, restricted records, legal holds and secure disposal of superseded information.</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TN-008  Internal Control and Audit Assurance Plan</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Internal Audit / Risk</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Risk-based audits, separation of duties, control testing, evidence requirements, findings, corrective actions and independent confirmation that agreed improvements work.</w:t>
            </w:r>
          </w:p>
        </w:tc>
      </w:tr>
      <w:tr>
        <w:trPr>
          <w:cantSplit/>
        </w:trPr>
        <w:tc>
          <w:tcPr>
            <w:tcW w:type="dxa" w:w="3053"/>
            <w:vAlign w:val="center"/>
            <w:tcMar>
              <w:top w:w="85" w:type="dxa"/>
              <w:left w:w="100" w:type="dxa"/>
              <w:bottom w:w="85" w:type="dxa"/>
              <w:right w:w="100" w:type="dxa"/>
            </w:tcMar>
            <w:shd w:fill="E9F1FC"/>
          </w:tcPr>
          <w:p>
            <w:pPr>
              <w:spacing w:after="0" w:line="247" w:lineRule="auto"/>
            </w:pPr>
            <w:r>
              <w:rPr>
                <w:rFonts w:ascii="Arial" w:hAnsi="Arial"/>
                <w:b/>
                <w:color w:val="222222"/>
                <w:sz w:val="21"/>
              </w:rPr>
              <w:t>TN-076  Insurance Coverage and Claims Management Procedure</w:t>
            </w:r>
          </w:p>
        </w:tc>
        <w:tc>
          <w:tcPr>
            <w:tcW w:type="dxa" w:w="1843"/>
            <w:vAlign w:val="center"/>
            <w:tcMar>
              <w:top w:w="85" w:type="dxa"/>
              <w:left w:w="100" w:type="dxa"/>
              <w:bottom w:w="85" w:type="dxa"/>
              <w:right w:w="100" w:type="dxa"/>
            </w:tcMar>
            <w:shd w:fill="E9F1FC"/>
          </w:tcPr>
          <w:p>
            <w:pPr>
              <w:spacing w:after="0" w:line="247" w:lineRule="auto"/>
            </w:pPr>
            <w:r>
              <w:rPr>
                <w:rFonts w:ascii="Arial" w:hAnsi="Arial"/>
                <w:b w:val="0"/>
                <w:color w:val="222222"/>
                <w:sz w:val="21"/>
              </w:rPr>
              <w:t>Finance / Risk / Legal</w:t>
            </w:r>
          </w:p>
        </w:tc>
        <w:tc>
          <w:tcPr>
            <w:tcW w:type="dxa" w:w="5429"/>
            <w:vAlign w:val="center"/>
            <w:tcMar>
              <w:top w:w="85" w:type="dxa"/>
              <w:left w:w="100" w:type="dxa"/>
              <w:bottom w:w="85" w:type="dxa"/>
              <w:right w:w="100" w:type="dxa"/>
            </w:tcMar>
            <w:shd w:fill="E9F1FC"/>
          </w:tcPr>
          <w:p>
            <w:pPr>
              <w:spacing w:after="0" w:line="247" w:lineRule="auto"/>
            </w:pPr>
            <w:r>
              <w:rPr>
                <w:rFonts w:ascii="Arial" w:hAnsi="Arial"/>
                <w:b w:val="0"/>
                <w:color w:val="222222"/>
                <w:sz w:val="21"/>
              </w:rPr>
              <w:t>Insurance needs, policy renewals, asset declarations, coverage reviews, claims evidence, notification responsibilities and recovery tracking.</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TN-077  Joint Venture and Operating Partner Governance Framework</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Executive / Legal / Finance</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Partner responsibilities, shared decisions, reporting, funding obligations, performance oversight and dispute escalation where joint ventures or operating partnerships apply.</w:t>
            </w:r>
          </w:p>
        </w:tc>
      </w:tr>
    </w:tbl>
    <w:p>
      <w:r>
        <w:br w:type="page"/>
      </w:r>
    </w:p>
    <w:p>
      <w:pPr>
        <w:keepNext w:val="0"/>
        <w:spacing w:before="0" w:after="80" w:line="259" w:lineRule="auto"/>
      </w:pPr>
      <w:r>
        <w:rPr>
          <w:rFonts w:ascii="Arial" w:hAnsi="Arial"/>
          <w:b/>
          <w:color w:val="864576"/>
          <w:sz w:val="18"/>
        </w:rPr>
        <w:t>CATALOGUE  02 / 10     |     12 DOCUMENTS</w:t>
      </w:r>
    </w:p>
    <w:p>
      <w:pPr>
        <w:pStyle w:val="Heading1"/>
        <w:keepNext/>
        <w:spacing w:before="240" w:after="200" w:line="259" w:lineRule="auto"/>
        <w:shd w:fill="F6EAFA"/>
        <w:ind w:left="173" w:right="115"/>
        <w:pBdr>
          <w:top w:val="single" w:sz="1" w:space="7" w:color="F6EAFA"/>
          <w:bottom w:val="single" w:sz="1" w:space="7" w:color="F6EAFA"/>
        </w:pBdr>
      </w:pPr>
      <w:r>
        <w:rPr>
          <w:rFonts w:ascii="Arial" w:hAnsi="Arial"/>
          <w:b/>
          <w:color w:val="864576"/>
          <w:sz w:val="34"/>
        </w:rPr>
        <w:t>People and organisational capability</w:t>
      </w:r>
    </w:p>
    <w:p>
      <w:pPr>
        <w:keepNext w:val="0"/>
        <w:spacing w:before="0" w:after="220" w:line="259" w:lineRule="auto"/>
      </w:pPr>
      <w:r>
        <w:rPr>
          <w:rFonts w:ascii="Arial" w:hAnsi="Arial"/>
          <w:b w:val="0"/>
          <w:color w:val="555555"/>
          <w:sz w:val="22"/>
        </w:rPr>
        <w:t>From workforce planning to employee transition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53"/>
        <w:gridCol w:w="1843"/>
        <w:gridCol w:w="5429"/>
      </w:tblGrid>
      <w:tr>
        <w:trPr>
          <w:tblHeader/>
          <w:cantSplit/>
        </w:trPr>
        <w:tc>
          <w:tcPr>
            <w:tcW w:type="dxa" w:w="3053"/>
            <w:vAlign w:val="center"/>
            <w:tcMar>
              <w:top w:w="100" w:type="dxa"/>
              <w:left w:w="100" w:type="dxa"/>
              <w:bottom w:w="100" w:type="dxa"/>
              <w:right w:w="100" w:type="dxa"/>
            </w:tcMar>
            <w:shd w:fill="864576"/>
          </w:tcPr>
          <w:p>
            <w:pPr>
              <w:spacing w:after="0" w:line="245" w:lineRule="auto"/>
            </w:pPr>
            <w:r>
              <w:rPr>
                <w:rFonts w:ascii="Arial" w:hAnsi="Arial"/>
                <w:b/>
                <w:color w:val="FFFFFF"/>
                <w:sz w:val="21"/>
              </w:rPr>
              <w:t>Document title</w:t>
            </w:r>
          </w:p>
        </w:tc>
        <w:tc>
          <w:tcPr>
            <w:tcW w:type="dxa" w:w="1843"/>
            <w:vAlign w:val="center"/>
            <w:tcMar>
              <w:top w:w="100" w:type="dxa"/>
              <w:left w:w="100" w:type="dxa"/>
              <w:bottom w:w="100" w:type="dxa"/>
              <w:right w:w="100" w:type="dxa"/>
            </w:tcMar>
            <w:shd w:fill="864576"/>
          </w:tcPr>
          <w:p>
            <w:pPr>
              <w:spacing w:after="0" w:line="245" w:lineRule="auto"/>
            </w:pPr>
            <w:r>
              <w:rPr>
                <w:rFonts w:ascii="Arial" w:hAnsi="Arial"/>
                <w:b/>
                <w:color w:val="FFFFFF"/>
                <w:sz w:val="21"/>
              </w:rPr>
              <w:t>Applicable departments</w:t>
            </w:r>
          </w:p>
        </w:tc>
        <w:tc>
          <w:tcPr>
            <w:tcW w:type="dxa" w:w="5429"/>
            <w:vAlign w:val="center"/>
            <w:tcMar>
              <w:top w:w="100" w:type="dxa"/>
              <w:left w:w="100" w:type="dxa"/>
              <w:bottom w:w="100" w:type="dxa"/>
              <w:right w:w="100" w:type="dxa"/>
            </w:tcMar>
            <w:shd w:fill="864576"/>
          </w:tcPr>
          <w:p>
            <w:pPr>
              <w:spacing w:after="0" w:line="245" w:lineRule="auto"/>
            </w:pPr>
            <w:r>
              <w:rPr>
                <w:rFonts w:ascii="Arial" w:hAnsi="Arial"/>
                <w:b/>
                <w:color w:val="FFFFFF"/>
                <w:sz w:val="21"/>
              </w:rPr>
              <w:t>What the document contains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TN-009  Workforce Planning and Role Architecture Framework</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HR / Department heads</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Workforce forecasts, organisation structures, role profiles, job grading, succession exposure and skills requirements for construction, operations and closure.</w:t>
            </w:r>
          </w:p>
        </w:tc>
      </w:tr>
      <w:tr>
        <w:trPr>
          <w:cantSplit/>
        </w:trPr>
        <w:tc>
          <w:tcPr>
            <w:tcW w:type="dxa" w:w="3053"/>
            <w:vAlign w:val="center"/>
            <w:tcMar>
              <w:top w:w="85" w:type="dxa"/>
              <w:left w:w="100" w:type="dxa"/>
              <w:bottom w:w="85" w:type="dxa"/>
              <w:right w:w="100" w:type="dxa"/>
            </w:tcMar>
            <w:shd w:fill="F6EAFA"/>
          </w:tcPr>
          <w:p>
            <w:pPr>
              <w:spacing w:after="0" w:line="247" w:lineRule="auto"/>
            </w:pPr>
            <w:r>
              <w:rPr>
                <w:rFonts w:ascii="Arial" w:hAnsi="Arial"/>
                <w:b/>
                <w:color w:val="222222"/>
                <w:sz w:val="21"/>
              </w:rPr>
              <w:t>TN-010  Talent Acquisition and Fair Selection Procedure</w:t>
            </w:r>
          </w:p>
        </w:tc>
        <w:tc>
          <w:tcPr>
            <w:tcW w:type="dxa" w:w="1843"/>
            <w:vAlign w:val="center"/>
            <w:tcMar>
              <w:top w:w="85" w:type="dxa"/>
              <w:left w:w="100" w:type="dxa"/>
              <w:bottom w:w="85" w:type="dxa"/>
              <w:right w:w="100" w:type="dxa"/>
            </w:tcMar>
            <w:shd w:fill="F6EAFA"/>
          </w:tcPr>
          <w:p>
            <w:pPr>
              <w:spacing w:after="0" w:line="247" w:lineRule="auto"/>
            </w:pPr>
            <w:r>
              <w:rPr>
                <w:rFonts w:ascii="Arial" w:hAnsi="Arial"/>
                <w:b w:val="0"/>
                <w:color w:val="222222"/>
                <w:sz w:val="21"/>
              </w:rPr>
              <w:t>HR / Hiring managers</w:t>
            </w:r>
          </w:p>
        </w:tc>
        <w:tc>
          <w:tcPr>
            <w:tcW w:type="dxa" w:w="5429"/>
            <w:vAlign w:val="center"/>
            <w:tcMar>
              <w:top w:w="85" w:type="dxa"/>
              <w:left w:w="100" w:type="dxa"/>
              <w:bottom w:w="85" w:type="dxa"/>
              <w:right w:w="100" w:type="dxa"/>
            </w:tcMar>
            <w:shd w:fill="F6EAFA"/>
          </w:tcPr>
          <w:p>
            <w:pPr>
              <w:spacing w:after="0" w:line="247" w:lineRule="auto"/>
            </w:pPr>
            <w:r>
              <w:rPr>
                <w:rFonts w:ascii="Arial" w:hAnsi="Arial"/>
                <w:b w:val="0"/>
                <w:color w:val="222222"/>
                <w:sz w:val="21"/>
              </w:rPr>
              <w:t>Vacancy approval, inclusive sourcing, structured interviews, candidate consent, qualification and reference verification, selection records and recruitment partner controls.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TN-011  Employment Terms and People Policy Handbook</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HR / Legal</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Employment agreement templates, probation, employee rights and responsibilities, benefits, flexible work arrangements and country-specific conditions of employment.</w:t>
            </w:r>
          </w:p>
        </w:tc>
      </w:tr>
      <w:tr>
        <w:trPr>
          <w:cantSplit/>
        </w:trPr>
        <w:tc>
          <w:tcPr>
            <w:tcW w:type="dxa" w:w="3053"/>
            <w:vAlign w:val="center"/>
            <w:tcMar>
              <w:top w:w="85" w:type="dxa"/>
              <w:left w:w="100" w:type="dxa"/>
              <w:bottom w:w="85" w:type="dxa"/>
              <w:right w:w="100" w:type="dxa"/>
            </w:tcMar>
            <w:shd w:fill="F6EAFA"/>
          </w:tcPr>
          <w:p>
            <w:pPr>
              <w:spacing w:after="0" w:line="247" w:lineRule="auto"/>
            </w:pPr>
            <w:r>
              <w:rPr>
                <w:rFonts w:ascii="Arial" w:hAnsi="Arial"/>
                <w:b/>
                <w:color w:val="222222"/>
                <w:sz w:val="21"/>
              </w:rPr>
              <w:t>TN-012  Employee Mobilisation and Site Induction Procedure</w:t>
            </w:r>
          </w:p>
        </w:tc>
        <w:tc>
          <w:tcPr>
            <w:tcW w:type="dxa" w:w="1843"/>
            <w:vAlign w:val="center"/>
            <w:tcMar>
              <w:top w:w="85" w:type="dxa"/>
              <w:left w:w="100" w:type="dxa"/>
              <w:bottom w:w="85" w:type="dxa"/>
              <w:right w:w="100" w:type="dxa"/>
            </w:tcMar>
            <w:shd w:fill="F6EAFA"/>
          </w:tcPr>
          <w:p>
            <w:pPr>
              <w:spacing w:after="0" w:line="247" w:lineRule="auto"/>
            </w:pPr>
            <w:r>
              <w:rPr>
                <w:rFonts w:ascii="Arial" w:hAnsi="Arial"/>
                <w:b w:val="0"/>
                <w:color w:val="222222"/>
                <w:sz w:val="21"/>
              </w:rPr>
              <w:t>HR / Site services</w:t>
            </w:r>
          </w:p>
        </w:tc>
        <w:tc>
          <w:tcPr>
            <w:tcW w:type="dxa" w:w="5429"/>
            <w:vAlign w:val="center"/>
            <w:tcMar>
              <w:top w:w="85" w:type="dxa"/>
              <w:left w:w="100" w:type="dxa"/>
              <w:bottom w:w="85" w:type="dxa"/>
              <w:right w:w="100" w:type="dxa"/>
            </w:tcMar>
            <w:shd w:fill="F6EAFA"/>
          </w:tcPr>
          <w:p>
            <w:pPr>
              <w:spacing w:after="0" w:line="247" w:lineRule="auto"/>
            </w:pPr>
            <w:r>
              <w:rPr>
                <w:rFonts w:ascii="Arial" w:hAnsi="Arial"/>
                <w:b w:val="0"/>
                <w:color w:val="222222"/>
                <w:sz w:val="21"/>
              </w:rPr>
              <w:t>Pre-employment checks, work authorisations, employee records, induction, medical-clearance status, accommodation, equipment allocation and access approval before deployment.</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TN-013  Working Time Leave and Fatigue Management Policy</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HR / Operations</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Shift patterns, attendance capture, leave workflows, overtime approval, rest periods, fatigue escalation and interfaces with payroll and fitness-for-work controls.</w:t>
            </w:r>
          </w:p>
        </w:tc>
      </w:tr>
      <w:tr>
        <w:trPr>
          <w:cantSplit/>
        </w:trPr>
        <w:tc>
          <w:tcPr>
            <w:tcW w:type="dxa" w:w="3053"/>
            <w:vAlign w:val="center"/>
            <w:tcMar>
              <w:top w:w="85" w:type="dxa"/>
              <w:left w:w="100" w:type="dxa"/>
              <w:bottom w:w="85" w:type="dxa"/>
              <w:right w:w="100" w:type="dxa"/>
            </w:tcMar>
            <w:shd w:fill="F6EAFA"/>
          </w:tcPr>
          <w:p>
            <w:pPr>
              <w:spacing w:after="0" w:line="247" w:lineRule="auto"/>
            </w:pPr>
            <w:r>
              <w:rPr>
                <w:rFonts w:ascii="Arial" w:hAnsi="Arial"/>
                <w:b/>
                <w:color w:val="222222"/>
                <w:sz w:val="21"/>
              </w:rPr>
              <w:t>TN-014  Learning Competence and Succession Framework</w:t>
            </w:r>
          </w:p>
        </w:tc>
        <w:tc>
          <w:tcPr>
            <w:tcW w:type="dxa" w:w="1843"/>
            <w:vAlign w:val="center"/>
            <w:tcMar>
              <w:top w:w="85" w:type="dxa"/>
              <w:left w:w="100" w:type="dxa"/>
              <w:bottom w:w="85" w:type="dxa"/>
              <w:right w:w="100" w:type="dxa"/>
            </w:tcMar>
            <w:shd w:fill="F6EAFA"/>
          </w:tcPr>
          <w:p>
            <w:pPr>
              <w:spacing w:after="0" w:line="247" w:lineRule="auto"/>
            </w:pPr>
            <w:r>
              <w:rPr>
                <w:rFonts w:ascii="Arial" w:hAnsi="Arial"/>
                <w:b w:val="0"/>
                <w:color w:val="222222"/>
                <w:sz w:val="21"/>
              </w:rPr>
              <w:t>HR / Technical training</w:t>
            </w:r>
          </w:p>
        </w:tc>
        <w:tc>
          <w:tcPr>
            <w:tcW w:type="dxa" w:w="5429"/>
            <w:vAlign w:val="center"/>
            <w:tcMar>
              <w:top w:w="85" w:type="dxa"/>
              <w:left w:w="100" w:type="dxa"/>
              <w:bottom w:w="85" w:type="dxa"/>
              <w:right w:w="100" w:type="dxa"/>
            </w:tcMar>
            <w:shd w:fill="F6EAFA"/>
          </w:tcPr>
          <w:p>
            <w:pPr>
              <w:spacing w:after="0" w:line="247" w:lineRule="auto"/>
            </w:pPr>
            <w:r>
              <w:rPr>
                <w:rFonts w:ascii="Arial" w:hAnsi="Arial"/>
                <w:b w:val="0"/>
                <w:color w:val="222222"/>
                <w:sz w:val="21"/>
              </w:rPr>
              <w:t>Skills matrices, practical competency assessment, licences, refresher training, digital learning records, career pathways and succession plans for critical roles.</w:t>
            </w:r>
          </w:p>
        </w:tc>
      </w:tr>
    </w:tbl>
    <w:p>
      <w:r>
        <w:br w:type="page"/>
      </w:r>
    </w:p>
    <w:p>
      <w:pPr>
        <w:keepNext w:val="0"/>
        <w:spacing w:before="0" w:after="80" w:line="259" w:lineRule="auto"/>
      </w:pPr>
      <w:r>
        <w:rPr>
          <w:rFonts w:ascii="Arial" w:hAnsi="Arial"/>
          <w:b/>
          <w:color w:val="864576"/>
          <w:sz w:val="18"/>
        </w:rPr>
        <w:t>CATALOGUE  02 / 10     |     12 DOCUMENTS</w:t>
      </w:r>
    </w:p>
    <w:p>
      <w:pPr>
        <w:pStyle w:val="Heading1"/>
        <w:keepNext/>
        <w:spacing w:before="240" w:after="200" w:line="259" w:lineRule="auto"/>
        <w:shd w:fill="F6EAFA"/>
        <w:ind w:left="173" w:right="115"/>
        <w:pBdr>
          <w:top w:val="single" w:sz="1" w:space="7" w:color="F6EAFA"/>
          <w:bottom w:val="single" w:sz="1" w:space="7" w:color="F6EAFA"/>
        </w:pBdr>
      </w:pPr>
      <w:r>
        <w:rPr>
          <w:rFonts w:ascii="Arial" w:hAnsi="Arial"/>
          <w:b/>
          <w:color w:val="864576"/>
          <w:sz w:val="34"/>
        </w:rPr>
        <w:t>People and organisational capability continued</w:t>
      </w:r>
    </w:p>
    <w:p>
      <w:pPr>
        <w:keepNext w:val="0"/>
        <w:spacing w:before="0" w:after="220" w:line="259" w:lineRule="auto"/>
      </w:pPr>
      <w:r>
        <w:rPr>
          <w:rFonts w:ascii="Arial" w:hAnsi="Arial"/>
          <w:b w:val="0"/>
          <w:color w:val="555555"/>
          <w:sz w:val="22"/>
        </w:rPr>
        <w:t>From workforce planning to employee transition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53"/>
        <w:gridCol w:w="1843"/>
        <w:gridCol w:w="5429"/>
      </w:tblGrid>
      <w:tr>
        <w:trPr>
          <w:tblHeader/>
          <w:cantSplit/>
        </w:trPr>
        <w:tc>
          <w:tcPr>
            <w:tcW w:type="dxa" w:w="3053"/>
            <w:vAlign w:val="center"/>
            <w:tcMar>
              <w:top w:w="100" w:type="dxa"/>
              <w:left w:w="100" w:type="dxa"/>
              <w:bottom w:w="100" w:type="dxa"/>
              <w:right w:w="100" w:type="dxa"/>
            </w:tcMar>
            <w:shd w:fill="864576"/>
          </w:tcPr>
          <w:p>
            <w:pPr>
              <w:spacing w:after="0" w:line="245" w:lineRule="auto"/>
            </w:pPr>
            <w:r>
              <w:rPr>
                <w:rFonts w:ascii="Arial" w:hAnsi="Arial"/>
                <w:b/>
                <w:color w:val="FFFFFF"/>
                <w:sz w:val="21"/>
              </w:rPr>
              <w:t>Document title</w:t>
            </w:r>
          </w:p>
        </w:tc>
        <w:tc>
          <w:tcPr>
            <w:tcW w:type="dxa" w:w="1843"/>
            <w:vAlign w:val="center"/>
            <w:tcMar>
              <w:top w:w="100" w:type="dxa"/>
              <w:left w:w="100" w:type="dxa"/>
              <w:bottom w:w="100" w:type="dxa"/>
              <w:right w:w="100" w:type="dxa"/>
            </w:tcMar>
            <w:shd w:fill="864576"/>
          </w:tcPr>
          <w:p>
            <w:pPr>
              <w:spacing w:after="0" w:line="245" w:lineRule="auto"/>
            </w:pPr>
            <w:r>
              <w:rPr>
                <w:rFonts w:ascii="Arial" w:hAnsi="Arial"/>
                <w:b/>
                <w:color w:val="FFFFFF"/>
                <w:sz w:val="21"/>
              </w:rPr>
              <w:t>Applicable departments</w:t>
            </w:r>
          </w:p>
        </w:tc>
        <w:tc>
          <w:tcPr>
            <w:tcW w:type="dxa" w:w="5429"/>
            <w:vAlign w:val="center"/>
            <w:tcMar>
              <w:top w:w="100" w:type="dxa"/>
              <w:left w:w="100" w:type="dxa"/>
              <w:bottom w:w="100" w:type="dxa"/>
              <w:right w:w="100" w:type="dxa"/>
            </w:tcMar>
            <w:shd w:fill="864576"/>
          </w:tcPr>
          <w:p>
            <w:pPr>
              <w:spacing w:after="0" w:line="245" w:lineRule="auto"/>
            </w:pPr>
            <w:r>
              <w:rPr>
                <w:rFonts w:ascii="Arial" w:hAnsi="Arial"/>
                <w:b/>
                <w:color w:val="FFFFFF"/>
                <w:sz w:val="21"/>
              </w:rPr>
              <w:t>What the document contains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TN-015  Performance Reward and Recognition Framework</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HR / Leadership</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Role objectives, regular feedback, fair assessment, improvement plans, reward decisions, recognition and safeguards against incentives that undermine safety or integrity.</w:t>
            </w:r>
          </w:p>
        </w:tc>
      </w:tr>
      <w:tr>
        <w:trPr>
          <w:cantSplit/>
        </w:trPr>
        <w:tc>
          <w:tcPr>
            <w:tcW w:type="dxa" w:w="3053"/>
            <w:vAlign w:val="center"/>
            <w:tcMar>
              <w:top w:w="85" w:type="dxa"/>
              <w:left w:w="100" w:type="dxa"/>
              <w:bottom w:w="85" w:type="dxa"/>
              <w:right w:w="100" w:type="dxa"/>
            </w:tcMar>
            <w:shd w:fill="F6EAFA"/>
          </w:tcPr>
          <w:p>
            <w:pPr>
              <w:spacing w:after="0" w:line="247" w:lineRule="auto"/>
            </w:pPr>
            <w:r>
              <w:rPr>
                <w:rFonts w:ascii="Arial" w:hAnsi="Arial"/>
                <w:b/>
                <w:color w:val="222222"/>
                <w:sz w:val="21"/>
              </w:rPr>
              <w:t>TN-016  Employee Relations Inclusion and Respect Procedure</w:t>
            </w:r>
          </w:p>
        </w:tc>
        <w:tc>
          <w:tcPr>
            <w:tcW w:type="dxa" w:w="1843"/>
            <w:vAlign w:val="center"/>
            <w:tcMar>
              <w:top w:w="85" w:type="dxa"/>
              <w:left w:w="100" w:type="dxa"/>
              <w:bottom w:w="85" w:type="dxa"/>
              <w:right w:w="100" w:type="dxa"/>
            </w:tcMar>
            <w:shd w:fill="F6EAFA"/>
          </w:tcPr>
          <w:p>
            <w:pPr>
              <w:spacing w:after="0" w:line="247" w:lineRule="auto"/>
            </w:pPr>
            <w:r>
              <w:rPr>
                <w:rFonts w:ascii="Arial" w:hAnsi="Arial"/>
                <w:b w:val="0"/>
                <w:color w:val="222222"/>
                <w:sz w:val="21"/>
              </w:rPr>
              <w:t>HR / Labour relations</w:t>
            </w:r>
          </w:p>
        </w:tc>
        <w:tc>
          <w:tcPr>
            <w:tcW w:type="dxa" w:w="5429"/>
            <w:vAlign w:val="center"/>
            <w:tcMar>
              <w:top w:w="85" w:type="dxa"/>
              <w:left w:w="100" w:type="dxa"/>
              <w:bottom w:w="85" w:type="dxa"/>
              <w:right w:w="100" w:type="dxa"/>
            </w:tcMar>
            <w:shd w:fill="F6EAFA"/>
          </w:tcPr>
          <w:p>
            <w:pPr>
              <w:spacing w:after="0" w:line="247" w:lineRule="auto"/>
            </w:pPr>
            <w:r>
              <w:rPr>
                <w:rFonts w:ascii="Arial" w:hAnsi="Arial"/>
                <w:b w:val="0"/>
                <w:color w:val="222222"/>
                <w:sz w:val="21"/>
              </w:rPr>
              <w:t>Union consultation, collective arrangements, grievances, disciplinary fairness, harassment prevention, reasonable accommodation, employee wellbeing and confidential case handling.</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TN-017  Employee Separation and Workforce Transition Procedure</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HR / Legal</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Resignations, retirement, restructuring and closure transitions, consultation, knowledge transfer, asset return, access removal, final entitlements and employee support.</w:t>
            </w:r>
          </w:p>
        </w:tc>
      </w:tr>
      <w:tr>
        <w:trPr>
          <w:cantSplit/>
        </w:trPr>
        <w:tc>
          <w:tcPr>
            <w:tcW w:type="dxa" w:w="3053"/>
            <w:vAlign w:val="center"/>
            <w:tcMar>
              <w:top w:w="85" w:type="dxa"/>
              <w:left w:w="100" w:type="dxa"/>
              <w:bottom w:w="85" w:type="dxa"/>
              <w:right w:w="100" w:type="dxa"/>
            </w:tcMar>
            <w:shd w:fill="F6EAFA"/>
          </w:tcPr>
          <w:p>
            <w:pPr>
              <w:spacing w:after="0" w:line="247" w:lineRule="auto"/>
            </w:pPr>
            <w:r>
              <w:rPr>
                <w:rFonts w:ascii="Arial" w:hAnsi="Arial"/>
                <w:b/>
                <w:color w:val="222222"/>
                <w:sz w:val="21"/>
              </w:rPr>
              <w:t>TN-078  Organisational Change and Employee Consultation Procedure</w:t>
            </w:r>
          </w:p>
        </w:tc>
        <w:tc>
          <w:tcPr>
            <w:tcW w:type="dxa" w:w="1843"/>
            <w:vAlign w:val="center"/>
            <w:tcMar>
              <w:top w:w="85" w:type="dxa"/>
              <w:left w:w="100" w:type="dxa"/>
              <w:bottom w:w="85" w:type="dxa"/>
              <w:right w:w="100" w:type="dxa"/>
            </w:tcMar>
            <w:shd w:fill="F6EAFA"/>
          </w:tcPr>
          <w:p>
            <w:pPr>
              <w:spacing w:after="0" w:line="247" w:lineRule="auto"/>
            </w:pPr>
            <w:r>
              <w:rPr>
                <w:rFonts w:ascii="Arial" w:hAnsi="Arial"/>
                <w:b w:val="0"/>
                <w:color w:val="222222"/>
                <w:sz w:val="21"/>
              </w:rPr>
              <w:t>HR / Executive / Department heads</w:t>
            </w:r>
          </w:p>
        </w:tc>
        <w:tc>
          <w:tcPr>
            <w:tcW w:type="dxa" w:w="5429"/>
            <w:vAlign w:val="center"/>
            <w:tcMar>
              <w:top w:w="85" w:type="dxa"/>
              <w:left w:w="100" w:type="dxa"/>
              <w:bottom w:w="85" w:type="dxa"/>
              <w:right w:w="100" w:type="dxa"/>
            </w:tcMar>
            <w:shd w:fill="F6EAFA"/>
          </w:tcPr>
          <w:p>
            <w:pPr>
              <w:spacing w:after="0" w:line="247" w:lineRule="auto"/>
            </w:pPr>
            <w:r>
              <w:rPr>
                <w:rFonts w:ascii="Arial" w:hAnsi="Arial"/>
                <w:b w:val="0"/>
                <w:color w:val="222222"/>
                <w:sz w:val="21"/>
              </w:rPr>
              <w:t>Assessment of organisational changes, employee consultation, communication, implementation responsibilities and support for affected teams.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TN-079  Knowledge Transfer and Critical Role Handover Procedure</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HR / All departments</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Identification of critical knowledge, structured handovers, practical knowledge capture, successor readiness and access to current operational information.</w:t>
            </w:r>
          </w:p>
        </w:tc>
      </w:tr>
      <w:tr>
        <w:trPr>
          <w:cantSplit/>
        </w:trPr>
        <w:tc>
          <w:tcPr>
            <w:tcW w:type="dxa" w:w="3053"/>
            <w:vAlign w:val="center"/>
            <w:tcMar>
              <w:top w:w="85" w:type="dxa"/>
              <w:left w:w="100" w:type="dxa"/>
              <w:bottom w:w="85" w:type="dxa"/>
              <w:right w:w="100" w:type="dxa"/>
            </w:tcMar>
            <w:shd w:fill="F6EAFA"/>
          </w:tcPr>
          <w:p>
            <w:pPr>
              <w:spacing w:after="0" w:line="247" w:lineRule="auto"/>
            </w:pPr>
            <w:r>
              <w:rPr>
                <w:rFonts w:ascii="Arial" w:hAnsi="Arial"/>
                <w:b/>
                <w:color w:val="222222"/>
                <w:sz w:val="21"/>
              </w:rPr>
              <w:t>TN-080  Psychosocial Risk and Employee Mental Wellbeing Plan</w:t>
            </w:r>
          </w:p>
        </w:tc>
        <w:tc>
          <w:tcPr>
            <w:tcW w:type="dxa" w:w="1843"/>
            <w:vAlign w:val="center"/>
            <w:tcMar>
              <w:top w:w="85" w:type="dxa"/>
              <w:left w:w="100" w:type="dxa"/>
              <w:bottom w:w="85" w:type="dxa"/>
              <w:right w:w="100" w:type="dxa"/>
            </w:tcMar>
            <w:shd w:fill="F6EAFA"/>
          </w:tcPr>
          <w:p>
            <w:pPr>
              <w:spacing w:after="0" w:line="247" w:lineRule="auto"/>
            </w:pPr>
            <w:r>
              <w:rPr>
                <w:rFonts w:ascii="Arial" w:hAnsi="Arial"/>
                <w:b w:val="0"/>
                <w:color w:val="222222"/>
                <w:sz w:val="21"/>
              </w:rPr>
              <w:t>HR / Occupational Health / Safety</w:t>
            </w:r>
          </w:p>
        </w:tc>
        <w:tc>
          <w:tcPr>
            <w:tcW w:type="dxa" w:w="5429"/>
            <w:vAlign w:val="center"/>
            <w:tcMar>
              <w:top w:w="85" w:type="dxa"/>
              <w:left w:w="100" w:type="dxa"/>
              <w:bottom w:w="85" w:type="dxa"/>
              <w:right w:w="100" w:type="dxa"/>
            </w:tcMar>
            <w:shd w:fill="F6EAFA"/>
          </w:tcPr>
          <w:p>
            <w:pPr>
              <w:spacing w:after="0" w:line="247" w:lineRule="auto"/>
            </w:pPr>
            <w:r>
              <w:rPr>
                <w:rFonts w:ascii="Arial" w:hAnsi="Arial"/>
                <w:b w:val="0"/>
                <w:color w:val="222222"/>
                <w:sz w:val="21"/>
              </w:rPr>
              <w:t>Assessment of workload, isolation and workplace stress, preventive work-design measures, confidential support pathways and review of organisational risk factors.</w:t>
            </w:r>
          </w:p>
        </w:tc>
      </w:tr>
    </w:tbl>
    <w:p>
      <w:r>
        <w:br w:type="page"/>
      </w:r>
    </w:p>
    <w:p>
      <w:pPr>
        <w:keepNext w:val="0"/>
        <w:spacing w:before="0" w:after="80" w:line="259" w:lineRule="auto"/>
      </w:pPr>
      <w:r>
        <w:rPr>
          <w:rFonts w:ascii="Arial" w:hAnsi="Arial"/>
          <w:b/>
          <w:color w:val="956213"/>
          <w:sz w:val="18"/>
        </w:rPr>
        <w:t>CATALOGUE  03 / 10     |     8 DOCUMENTS</w:t>
      </w:r>
    </w:p>
    <w:p>
      <w:pPr>
        <w:pStyle w:val="Heading1"/>
        <w:keepNext/>
        <w:spacing w:before="240" w:after="200" w:line="259" w:lineRule="auto"/>
        <w:shd w:fill="FFF3D7"/>
        <w:ind w:left="173" w:right="115"/>
        <w:pBdr>
          <w:top w:val="single" w:sz="1" w:space="7" w:color="FFF3D7"/>
          <w:bottom w:val="single" w:sz="1" w:space="7" w:color="FFF3D7"/>
        </w:pBdr>
      </w:pPr>
      <w:r>
        <w:rPr>
          <w:rFonts w:ascii="Arial" w:hAnsi="Arial"/>
          <w:b/>
          <w:color w:val="956213"/>
          <w:sz w:val="34"/>
        </w:rPr>
        <w:t>Finance tax and financial control</w:t>
      </w:r>
    </w:p>
    <w:p>
      <w:pPr>
        <w:keepNext w:val="0"/>
        <w:spacing w:before="0" w:after="220" w:line="259" w:lineRule="auto"/>
      </w:pPr>
      <w:r>
        <w:rPr>
          <w:rFonts w:ascii="Arial" w:hAnsi="Arial"/>
          <w:b w:val="0"/>
          <w:color w:val="555555"/>
          <w:sz w:val="22"/>
        </w:rPr>
        <w:t>Reliable financial information and controlled transactions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53"/>
        <w:gridCol w:w="1843"/>
        <w:gridCol w:w="5429"/>
      </w:tblGrid>
      <w:tr>
        <w:trPr>
          <w:tblHeader/>
          <w:cantSplit/>
        </w:trPr>
        <w:tc>
          <w:tcPr>
            <w:tcW w:type="dxa" w:w="3053"/>
            <w:vAlign w:val="center"/>
            <w:tcMar>
              <w:top w:w="100" w:type="dxa"/>
              <w:left w:w="100" w:type="dxa"/>
              <w:bottom w:w="100" w:type="dxa"/>
              <w:right w:w="100" w:type="dxa"/>
            </w:tcMar>
            <w:shd w:fill="956213"/>
          </w:tcPr>
          <w:p>
            <w:pPr>
              <w:spacing w:after="0" w:line="245" w:lineRule="auto"/>
            </w:pPr>
            <w:r>
              <w:rPr>
                <w:rFonts w:ascii="Arial" w:hAnsi="Arial"/>
                <w:b/>
                <w:color w:val="FFFFFF"/>
                <w:sz w:val="21"/>
              </w:rPr>
              <w:t>Document title</w:t>
            </w:r>
          </w:p>
        </w:tc>
        <w:tc>
          <w:tcPr>
            <w:tcW w:type="dxa" w:w="1843"/>
            <w:vAlign w:val="center"/>
            <w:tcMar>
              <w:top w:w="100" w:type="dxa"/>
              <w:left w:w="100" w:type="dxa"/>
              <w:bottom w:w="100" w:type="dxa"/>
              <w:right w:w="100" w:type="dxa"/>
            </w:tcMar>
            <w:shd w:fill="956213"/>
          </w:tcPr>
          <w:p>
            <w:pPr>
              <w:spacing w:after="0" w:line="245" w:lineRule="auto"/>
            </w:pPr>
            <w:r>
              <w:rPr>
                <w:rFonts w:ascii="Arial" w:hAnsi="Arial"/>
                <w:b/>
                <w:color w:val="FFFFFF"/>
                <w:sz w:val="21"/>
              </w:rPr>
              <w:t>Applicable departments</w:t>
            </w:r>
          </w:p>
        </w:tc>
        <w:tc>
          <w:tcPr>
            <w:tcW w:type="dxa" w:w="5429"/>
            <w:vAlign w:val="center"/>
            <w:tcMar>
              <w:top w:w="100" w:type="dxa"/>
              <w:left w:w="100" w:type="dxa"/>
              <w:bottom w:w="100" w:type="dxa"/>
              <w:right w:w="100" w:type="dxa"/>
            </w:tcMar>
            <w:shd w:fill="956213"/>
          </w:tcPr>
          <w:p>
            <w:pPr>
              <w:spacing w:after="0" w:line="245" w:lineRule="auto"/>
            </w:pPr>
            <w:r>
              <w:rPr>
                <w:rFonts w:ascii="Arial" w:hAnsi="Arial"/>
                <w:b/>
                <w:color w:val="FFFFFF"/>
                <w:sz w:val="21"/>
              </w:rPr>
              <w:t>What the document contains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TN-018  Budgeting Forecasting and Cost Control Procedure</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Finance / Cost control</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Operating and capital budgets, rolling forecasts, cost-centre ownership, unit-cost analysis, variance explanations and approval of corrective spending decisions.</w:t>
            </w:r>
          </w:p>
        </w:tc>
      </w:tr>
      <w:tr>
        <w:trPr>
          <w:cantSplit/>
        </w:trPr>
        <w:tc>
          <w:tcPr>
            <w:tcW w:type="dxa" w:w="3053"/>
            <w:vAlign w:val="center"/>
            <w:tcMar>
              <w:top w:w="85" w:type="dxa"/>
              <w:left w:w="100" w:type="dxa"/>
              <w:bottom w:w="85" w:type="dxa"/>
              <w:right w:w="100" w:type="dxa"/>
            </w:tcMar>
            <w:shd w:fill="FFF3D7"/>
          </w:tcPr>
          <w:p>
            <w:pPr>
              <w:spacing w:after="0" w:line="247" w:lineRule="auto"/>
            </w:pPr>
            <w:r>
              <w:rPr>
                <w:rFonts w:ascii="Arial" w:hAnsi="Arial"/>
                <w:b/>
                <w:color w:val="222222"/>
                <w:sz w:val="21"/>
              </w:rPr>
              <w:t>TN-019  Financial Close and Management Reporting Procedure</w:t>
            </w:r>
          </w:p>
        </w:tc>
        <w:tc>
          <w:tcPr>
            <w:tcW w:type="dxa" w:w="1843"/>
            <w:vAlign w:val="center"/>
            <w:tcMar>
              <w:top w:w="85" w:type="dxa"/>
              <w:left w:w="100" w:type="dxa"/>
              <w:bottom w:w="85" w:type="dxa"/>
              <w:right w:w="100" w:type="dxa"/>
            </w:tcMar>
            <w:shd w:fill="FFF3D7"/>
          </w:tcPr>
          <w:p>
            <w:pPr>
              <w:spacing w:after="0" w:line="247" w:lineRule="auto"/>
            </w:pPr>
            <w:r>
              <w:rPr>
                <w:rFonts w:ascii="Arial" w:hAnsi="Arial"/>
                <w:b w:val="0"/>
                <w:color w:val="222222"/>
                <w:sz w:val="21"/>
              </w:rPr>
              <w:t>Finance / Accounting</w:t>
            </w:r>
          </w:p>
        </w:tc>
        <w:tc>
          <w:tcPr>
            <w:tcW w:type="dxa" w:w="5429"/>
            <w:vAlign w:val="center"/>
            <w:tcMar>
              <w:top w:w="85" w:type="dxa"/>
              <w:left w:w="100" w:type="dxa"/>
              <w:bottom w:w="85" w:type="dxa"/>
              <w:right w:w="100" w:type="dxa"/>
            </w:tcMar>
            <w:shd w:fill="FFF3D7"/>
          </w:tcPr>
          <w:p>
            <w:pPr>
              <w:spacing w:after="0" w:line="247" w:lineRule="auto"/>
            </w:pPr>
            <w:r>
              <w:rPr>
                <w:rFonts w:ascii="Arial" w:hAnsi="Arial"/>
                <w:b w:val="0"/>
                <w:color w:val="222222"/>
                <w:sz w:val="21"/>
              </w:rPr>
              <w:t>Account reconciliations, journals, consolidation, reporting cut-offs, review evidence and production of consistent financial statements and management reports.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TN-020  Treasury Banking and Payment Security Policy</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Finance / Treasury</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Cash forecasting, bank mandates, liquidity, funding, foreign exchange exposure, payment approvals and independent verification of changed beneficiary details.</w:t>
            </w:r>
          </w:p>
        </w:tc>
      </w:tr>
      <w:tr>
        <w:trPr>
          <w:cantSplit/>
        </w:trPr>
        <w:tc>
          <w:tcPr>
            <w:tcW w:type="dxa" w:w="3053"/>
            <w:vAlign w:val="center"/>
            <w:tcMar>
              <w:top w:w="85" w:type="dxa"/>
              <w:left w:w="100" w:type="dxa"/>
              <w:bottom w:w="85" w:type="dxa"/>
              <w:right w:w="100" w:type="dxa"/>
            </w:tcMar>
            <w:shd w:fill="FFF3D7"/>
          </w:tcPr>
          <w:p>
            <w:pPr>
              <w:spacing w:after="0" w:line="247" w:lineRule="auto"/>
            </w:pPr>
            <w:r>
              <w:rPr>
                <w:rFonts w:ascii="Arial" w:hAnsi="Arial"/>
                <w:b/>
                <w:color w:val="222222"/>
                <w:sz w:val="21"/>
              </w:rPr>
              <w:t>TN-021  Supplier Invoice and Expense Settlement Procedure</w:t>
            </w:r>
          </w:p>
        </w:tc>
        <w:tc>
          <w:tcPr>
            <w:tcW w:type="dxa" w:w="1843"/>
            <w:vAlign w:val="center"/>
            <w:tcMar>
              <w:top w:w="85" w:type="dxa"/>
              <w:left w:w="100" w:type="dxa"/>
              <w:bottom w:w="85" w:type="dxa"/>
              <w:right w:w="100" w:type="dxa"/>
            </w:tcMar>
            <w:shd w:fill="FFF3D7"/>
          </w:tcPr>
          <w:p>
            <w:pPr>
              <w:spacing w:after="0" w:line="247" w:lineRule="auto"/>
            </w:pPr>
            <w:r>
              <w:rPr>
                <w:rFonts w:ascii="Arial" w:hAnsi="Arial"/>
                <w:b w:val="0"/>
                <w:color w:val="222222"/>
                <w:sz w:val="21"/>
              </w:rPr>
              <w:t>Finance / Accounts payable</w:t>
            </w:r>
          </w:p>
        </w:tc>
        <w:tc>
          <w:tcPr>
            <w:tcW w:type="dxa" w:w="5429"/>
            <w:vAlign w:val="center"/>
            <w:tcMar>
              <w:top w:w="85" w:type="dxa"/>
              <w:left w:w="100" w:type="dxa"/>
              <w:bottom w:w="85" w:type="dxa"/>
              <w:right w:w="100" w:type="dxa"/>
            </w:tcMar>
            <w:shd w:fill="FFF3D7"/>
          </w:tcPr>
          <w:p>
            <w:pPr>
              <w:spacing w:after="0" w:line="247" w:lineRule="auto"/>
            </w:pPr>
            <w:r>
              <w:rPr>
                <w:rFonts w:ascii="Arial" w:hAnsi="Arial"/>
                <w:b w:val="0"/>
                <w:color w:val="222222"/>
                <w:sz w:val="21"/>
              </w:rPr>
              <w:t>Invoice validation, purchase and receipt matching, expense claims, duplicate-payment checks, exceptions, approval workflows and controlled supplier settlements.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TN-022  Revenue Credit and Receivables Procedure</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Finance / Credit control</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Customer credit approval, invoicing, revenue recognition, collection follow-up, disputed accounts, credit notes and write-off authority.</w:t>
            </w:r>
          </w:p>
        </w:tc>
      </w:tr>
      <w:tr>
        <w:trPr>
          <w:cantSplit/>
        </w:trPr>
        <w:tc>
          <w:tcPr>
            <w:tcW w:type="dxa" w:w="3053"/>
            <w:vAlign w:val="center"/>
            <w:tcMar>
              <w:top w:w="85" w:type="dxa"/>
              <w:left w:w="100" w:type="dxa"/>
              <w:bottom w:w="85" w:type="dxa"/>
              <w:right w:w="100" w:type="dxa"/>
            </w:tcMar>
            <w:shd w:fill="FFF3D7"/>
          </w:tcPr>
          <w:p>
            <w:pPr>
              <w:spacing w:after="0" w:line="247" w:lineRule="auto"/>
            </w:pPr>
            <w:r>
              <w:rPr>
                <w:rFonts w:ascii="Arial" w:hAnsi="Arial"/>
                <w:b/>
                <w:color w:val="222222"/>
                <w:sz w:val="21"/>
              </w:rPr>
              <w:t>TN-023  Payroll Benefits and Statutory Deductions Procedure</w:t>
            </w:r>
          </w:p>
        </w:tc>
        <w:tc>
          <w:tcPr>
            <w:tcW w:type="dxa" w:w="1843"/>
            <w:vAlign w:val="center"/>
            <w:tcMar>
              <w:top w:w="85" w:type="dxa"/>
              <w:left w:w="100" w:type="dxa"/>
              <w:bottom w:w="85" w:type="dxa"/>
              <w:right w:w="100" w:type="dxa"/>
            </w:tcMar>
            <w:shd w:fill="FFF3D7"/>
          </w:tcPr>
          <w:p>
            <w:pPr>
              <w:spacing w:after="0" w:line="247" w:lineRule="auto"/>
            </w:pPr>
            <w:r>
              <w:rPr>
                <w:rFonts w:ascii="Arial" w:hAnsi="Arial"/>
                <w:b w:val="0"/>
                <w:color w:val="222222"/>
                <w:sz w:val="21"/>
              </w:rPr>
              <w:t>Finance / HR</w:t>
            </w:r>
          </w:p>
        </w:tc>
        <w:tc>
          <w:tcPr>
            <w:tcW w:type="dxa" w:w="5429"/>
            <w:vAlign w:val="center"/>
            <w:tcMar>
              <w:top w:w="85" w:type="dxa"/>
              <w:left w:w="100" w:type="dxa"/>
              <w:bottom w:w="85" w:type="dxa"/>
              <w:right w:w="100" w:type="dxa"/>
            </w:tcMar>
            <w:shd w:fill="FFF3D7"/>
          </w:tcPr>
          <w:p>
            <w:pPr>
              <w:spacing w:after="0" w:line="247" w:lineRule="auto"/>
            </w:pPr>
            <w:r>
              <w:rPr>
                <w:rFonts w:ascii="Arial" w:hAnsi="Arial"/>
                <w:b w:val="0"/>
                <w:color w:val="222222"/>
                <w:sz w:val="21"/>
              </w:rPr>
              <w:t>Approved employee changes, pay calculations, benefits, deductions, reconciliations, confidential payslips, payment release and relevant statutory submissions.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TN-024  Tax Royalties and Fixed Asset Accounting Procedure</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Finance / Tax</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Tax and royalty calendars, supporting reconciliations, capitalisation, depreciation, asset verification, impairment reviews and accounting for rehabilitation obligations.</w:t>
            </w:r>
          </w:p>
        </w:tc>
      </w:tr>
      <w:tr>
        <w:trPr>
          <w:cantSplit/>
        </w:trPr>
        <w:tc>
          <w:tcPr>
            <w:tcW w:type="dxa" w:w="3053"/>
            <w:vAlign w:val="center"/>
            <w:tcMar>
              <w:top w:w="85" w:type="dxa"/>
              <w:left w:w="100" w:type="dxa"/>
              <w:bottom w:w="85" w:type="dxa"/>
              <w:right w:w="100" w:type="dxa"/>
            </w:tcMar>
            <w:shd w:fill="FFF3D7"/>
          </w:tcPr>
          <w:p>
            <w:pPr>
              <w:spacing w:after="0" w:line="247" w:lineRule="auto"/>
            </w:pPr>
            <w:r>
              <w:rPr>
                <w:rFonts w:ascii="Arial" w:hAnsi="Arial"/>
                <w:b/>
                <w:color w:val="222222"/>
                <w:sz w:val="21"/>
              </w:rPr>
              <w:t>TN-081  Capital Project Benefits and Post Investment Review Procedure</w:t>
            </w:r>
          </w:p>
        </w:tc>
        <w:tc>
          <w:tcPr>
            <w:tcW w:type="dxa" w:w="1843"/>
            <w:vAlign w:val="center"/>
            <w:tcMar>
              <w:top w:w="85" w:type="dxa"/>
              <w:left w:w="100" w:type="dxa"/>
              <w:bottom w:w="85" w:type="dxa"/>
              <w:right w:w="100" w:type="dxa"/>
            </w:tcMar>
            <w:shd w:fill="FFF3D7"/>
          </w:tcPr>
          <w:p>
            <w:pPr>
              <w:spacing w:after="0" w:line="247" w:lineRule="auto"/>
            </w:pPr>
            <w:r>
              <w:rPr>
                <w:rFonts w:ascii="Arial" w:hAnsi="Arial"/>
                <w:b w:val="0"/>
                <w:color w:val="222222"/>
                <w:sz w:val="21"/>
              </w:rPr>
              <w:t>Finance / Projects / Operations</w:t>
            </w:r>
          </w:p>
        </w:tc>
        <w:tc>
          <w:tcPr>
            <w:tcW w:type="dxa" w:w="5429"/>
            <w:vAlign w:val="center"/>
            <w:tcMar>
              <w:top w:w="85" w:type="dxa"/>
              <w:left w:w="100" w:type="dxa"/>
              <w:bottom w:w="85" w:type="dxa"/>
              <w:right w:w="100" w:type="dxa"/>
            </w:tcMar>
            <w:shd w:fill="FFF3D7"/>
          </w:tcPr>
          <w:p>
            <w:pPr>
              <w:spacing w:after="0" w:line="247" w:lineRule="auto"/>
            </w:pPr>
            <w:r>
              <w:rPr>
                <w:rFonts w:ascii="Arial" w:hAnsi="Arial"/>
                <w:b w:val="0"/>
                <w:color w:val="222222"/>
                <w:sz w:val="21"/>
              </w:rPr>
              <w:t>Comparison of completed investments with approved business cases, including capacity, costs, savings, benefits ownership and lessons for future investment decisions.</w:t>
            </w:r>
          </w:p>
        </w:tc>
      </w:tr>
    </w:tbl>
    <w:p>
      <w:r>
        <w:br w:type="page"/>
      </w:r>
    </w:p>
    <w:p>
      <w:pPr>
        <w:keepNext w:val="0"/>
        <w:spacing w:before="0" w:after="80" w:line="259" w:lineRule="auto"/>
      </w:pPr>
      <w:r>
        <w:rPr>
          <w:rFonts w:ascii="Arial" w:hAnsi="Arial"/>
          <w:b/>
          <w:color w:val="08746E"/>
          <w:sz w:val="18"/>
        </w:rPr>
        <w:t>CATALOGUE  04 / 10     |     11 DOCUMENTS</w:t>
      </w:r>
    </w:p>
    <w:p>
      <w:pPr>
        <w:pStyle w:val="Heading1"/>
        <w:keepNext/>
        <w:spacing w:before="240" w:after="200" w:line="259" w:lineRule="auto"/>
        <w:shd w:fill="DEF5EF"/>
        <w:ind w:left="173" w:right="115"/>
        <w:pBdr>
          <w:top w:val="single" w:sz="1" w:space="7" w:color="DEF5EF"/>
          <w:bottom w:val="single" w:sz="1" w:space="7" w:color="DEF5EF"/>
        </w:pBdr>
      </w:pPr>
      <w:r>
        <w:rPr>
          <w:rFonts w:ascii="Arial" w:hAnsi="Arial"/>
          <w:b/>
          <w:color w:val="08746E"/>
          <w:sz w:val="34"/>
        </w:rPr>
        <w:t>Supply chain contracting and logistics</w:t>
      </w:r>
    </w:p>
    <w:p>
      <w:pPr>
        <w:keepNext w:val="0"/>
        <w:spacing w:before="0" w:after="220" w:line="259" w:lineRule="auto"/>
      </w:pPr>
      <w:r>
        <w:rPr>
          <w:rFonts w:ascii="Arial" w:hAnsi="Arial"/>
          <w:b w:val="0"/>
          <w:color w:val="555555"/>
          <w:sz w:val="22"/>
        </w:rPr>
        <w:t>Responsible sourcing and dependable material flow</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53"/>
        <w:gridCol w:w="1843"/>
        <w:gridCol w:w="5429"/>
      </w:tblGrid>
      <w:tr>
        <w:trPr>
          <w:tblHeader/>
          <w:cantSplit/>
        </w:trPr>
        <w:tc>
          <w:tcPr>
            <w:tcW w:type="dxa" w:w="3053"/>
            <w:vAlign w:val="center"/>
            <w:tcMar>
              <w:top w:w="100" w:type="dxa"/>
              <w:left w:w="100" w:type="dxa"/>
              <w:bottom w:w="100" w:type="dxa"/>
              <w:right w:w="100" w:type="dxa"/>
            </w:tcMar>
            <w:shd w:fill="08746E"/>
          </w:tcPr>
          <w:p>
            <w:pPr>
              <w:spacing w:after="0" w:line="245" w:lineRule="auto"/>
            </w:pPr>
            <w:r>
              <w:rPr>
                <w:rFonts w:ascii="Arial" w:hAnsi="Arial"/>
                <w:b/>
                <w:color w:val="FFFFFF"/>
                <w:sz w:val="21"/>
              </w:rPr>
              <w:t>Document title</w:t>
            </w:r>
          </w:p>
        </w:tc>
        <w:tc>
          <w:tcPr>
            <w:tcW w:type="dxa" w:w="1843"/>
            <w:vAlign w:val="center"/>
            <w:tcMar>
              <w:top w:w="100" w:type="dxa"/>
              <w:left w:w="100" w:type="dxa"/>
              <w:bottom w:w="100" w:type="dxa"/>
              <w:right w:w="100" w:type="dxa"/>
            </w:tcMar>
            <w:shd w:fill="08746E"/>
          </w:tcPr>
          <w:p>
            <w:pPr>
              <w:spacing w:after="0" w:line="245" w:lineRule="auto"/>
            </w:pPr>
            <w:r>
              <w:rPr>
                <w:rFonts w:ascii="Arial" w:hAnsi="Arial"/>
                <w:b/>
                <w:color w:val="FFFFFF"/>
                <w:sz w:val="21"/>
              </w:rPr>
              <w:t>Applicable departments</w:t>
            </w:r>
          </w:p>
        </w:tc>
        <w:tc>
          <w:tcPr>
            <w:tcW w:type="dxa" w:w="5429"/>
            <w:vAlign w:val="center"/>
            <w:tcMar>
              <w:top w:w="100" w:type="dxa"/>
              <w:left w:w="100" w:type="dxa"/>
              <w:bottom w:w="100" w:type="dxa"/>
              <w:right w:w="100" w:type="dxa"/>
            </w:tcMar>
            <w:shd w:fill="08746E"/>
          </w:tcPr>
          <w:p>
            <w:pPr>
              <w:spacing w:after="0" w:line="245" w:lineRule="auto"/>
            </w:pPr>
            <w:r>
              <w:rPr>
                <w:rFonts w:ascii="Arial" w:hAnsi="Arial"/>
                <w:b/>
                <w:color w:val="FFFFFF"/>
                <w:sz w:val="21"/>
              </w:rPr>
              <w:t>What the document contains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TN-025  Supplier Due Diligence and Responsible Sourcing Policy</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Supply Chain / Compliance</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Supplier verification, ownership and integrity checks, human-rights screening, local supplier development, risk classification and ongoing supplier review.</w:t>
            </w:r>
          </w:p>
        </w:tc>
      </w:tr>
      <w:tr>
        <w:trPr>
          <w:cantSplit/>
        </w:trPr>
        <w:tc>
          <w:tcPr>
            <w:tcW w:type="dxa" w:w="3053"/>
            <w:vAlign w:val="center"/>
            <w:tcMar>
              <w:top w:w="85" w:type="dxa"/>
              <w:left w:w="100" w:type="dxa"/>
              <w:bottom w:w="85" w:type="dxa"/>
              <w:right w:w="100" w:type="dxa"/>
            </w:tcMar>
            <w:shd w:fill="DEF5EF"/>
          </w:tcPr>
          <w:p>
            <w:pPr>
              <w:spacing w:after="0" w:line="247" w:lineRule="auto"/>
            </w:pPr>
            <w:r>
              <w:rPr>
                <w:rFonts w:ascii="Arial" w:hAnsi="Arial"/>
                <w:b/>
                <w:color w:val="222222"/>
                <w:sz w:val="21"/>
              </w:rPr>
              <w:t>TN-026  Sourcing Tender Evaluation and Purchase Approval Procedure</w:t>
            </w:r>
          </w:p>
        </w:tc>
        <w:tc>
          <w:tcPr>
            <w:tcW w:type="dxa" w:w="1843"/>
            <w:vAlign w:val="center"/>
            <w:tcMar>
              <w:top w:w="85" w:type="dxa"/>
              <w:left w:w="100" w:type="dxa"/>
              <w:bottom w:w="85" w:type="dxa"/>
              <w:right w:w="100" w:type="dxa"/>
            </w:tcMar>
            <w:shd w:fill="DEF5EF"/>
          </w:tcPr>
          <w:p>
            <w:pPr>
              <w:spacing w:after="0" w:line="247" w:lineRule="auto"/>
            </w:pPr>
            <w:r>
              <w:rPr>
                <w:rFonts w:ascii="Arial" w:hAnsi="Arial"/>
                <w:b w:val="0"/>
                <w:color w:val="222222"/>
                <w:sz w:val="21"/>
              </w:rPr>
              <w:t>Procurement / User departments</w:t>
            </w:r>
          </w:p>
        </w:tc>
        <w:tc>
          <w:tcPr>
            <w:tcW w:type="dxa" w:w="5429"/>
            <w:vAlign w:val="center"/>
            <w:tcMar>
              <w:top w:w="85" w:type="dxa"/>
              <w:left w:w="100" w:type="dxa"/>
              <w:bottom w:w="85" w:type="dxa"/>
              <w:right w:w="100" w:type="dxa"/>
            </w:tcMar>
            <w:shd w:fill="DEF5EF"/>
          </w:tcPr>
          <w:p>
            <w:pPr>
              <w:spacing w:after="0" w:line="247" w:lineRule="auto"/>
            </w:pPr>
            <w:r>
              <w:rPr>
                <w:rFonts w:ascii="Arial" w:hAnsi="Arial"/>
                <w:b w:val="0"/>
                <w:color w:val="222222"/>
                <w:sz w:val="21"/>
              </w:rPr>
              <w:t>Specifications, requisitions, competitive sourcing, transparent bid evaluation, total-cost assessment, approval routes, purchase orders and documented emergency buying.</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TN-027  Supplier and Contractor Performance Procedure</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Contracts / Supply Chain</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Service levels, commercial obligations, delivery performance, scorecards, change orders, remedial actions, disputes and contract close-out records.</w:t>
            </w:r>
          </w:p>
        </w:tc>
      </w:tr>
      <w:tr>
        <w:trPr>
          <w:cantSplit/>
        </w:trPr>
        <w:tc>
          <w:tcPr>
            <w:tcW w:type="dxa" w:w="3053"/>
            <w:vAlign w:val="center"/>
            <w:tcMar>
              <w:top w:w="85" w:type="dxa"/>
              <w:left w:w="100" w:type="dxa"/>
              <w:bottom w:w="85" w:type="dxa"/>
              <w:right w:w="100" w:type="dxa"/>
            </w:tcMar>
            <w:shd w:fill="DEF5EF"/>
          </w:tcPr>
          <w:p>
            <w:pPr>
              <w:spacing w:after="0" w:line="247" w:lineRule="auto"/>
            </w:pPr>
            <w:r>
              <w:rPr>
                <w:rFonts w:ascii="Arial" w:hAnsi="Arial"/>
                <w:b/>
                <w:color w:val="222222"/>
                <w:sz w:val="21"/>
              </w:rPr>
              <w:t>TN-028  Inventory Planning and Critical Spares Procedure</w:t>
            </w:r>
          </w:p>
        </w:tc>
        <w:tc>
          <w:tcPr>
            <w:tcW w:type="dxa" w:w="1843"/>
            <w:vAlign w:val="center"/>
            <w:tcMar>
              <w:top w:w="85" w:type="dxa"/>
              <w:left w:w="100" w:type="dxa"/>
              <w:bottom w:w="85" w:type="dxa"/>
              <w:right w:w="100" w:type="dxa"/>
            </w:tcMar>
            <w:shd w:fill="DEF5EF"/>
          </w:tcPr>
          <w:p>
            <w:pPr>
              <w:spacing w:after="0" w:line="247" w:lineRule="auto"/>
            </w:pPr>
            <w:r>
              <w:rPr>
                <w:rFonts w:ascii="Arial" w:hAnsi="Arial"/>
                <w:b w:val="0"/>
                <w:color w:val="222222"/>
                <w:sz w:val="21"/>
              </w:rPr>
              <w:t>Supply Chain / Maintenance</w:t>
            </w:r>
          </w:p>
        </w:tc>
        <w:tc>
          <w:tcPr>
            <w:tcW w:type="dxa" w:w="5429"/>
            <w:vAlign w:val="center"/>
            <w:tcMar>
              <w:top w:w="85" w:type="dxa"/>
              <w:left w:w="100" w:type="dxa"/>
              <w:bottom w:w="85" w:type="dxa"/>
              <w:right w:w="100" w:type="dxa"/>
            </w:tcMar>
            <w:shd w:fill="DEF5EF"/>
          </w:tcPr>
          <w:p>
            <w:pPr>
              <w:spacing w:after="0" w:line="247" w:lineRule="auto"/>
            </w:pPr>
            <w:r>
              <w:rPr>
                <w:rFonts w:ascii="Arial" w:hAnsi="Arial"/>
                <w:b w:val="0"/>
                <w:color w:val="222222"/>
                <w:sz w:val="21"/>
              </w:rPr>
              <w:t>Demand planning, criticality-based stock levels, replenishment, lead-time risks, repairable spares, obsolescence and inventory optimisation.</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TN-029  Warehouse Receiving Storage and Issue Procedure</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Stores / Warehousing</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Receipt inspection, item identification, safe storage, barcode tracking, preservation, authorised issues, cycle counts and segregation of nonconforming goods.</w:t>
            </w:r>
          </w:p>
        </w:tc>
      </w:tr>
      <w:tr>
        <w:trPr>
          <w:cantSplit/>
        </w:trPr>
        <w:tc>
          <w:tcPr>
            <w:tcW w:type="dxa" w:w="3053"/>
            <w:vAlign w:val="center"/>
            <w:tcMar>
              <w:top w:w="85" w:type="dxa"/>
              <w:left w:w="100" w:type="dxa"/>
              <w:bottom w:w="85" w:type="dxa"/>
              <w:right w:w="100" w:type="dxa"/>
            </w:tcMar>
            <w:shd w:fill="DEF5EF"/>
          </w:tcPr>
          <w:p>
            <w:pPr>
              <w:spacing w:after="0" w:line="247" w:lineRule="auto"/>
            </w:pPr>
            <w:r>
              <w:rPr>
                <w:rFonts w:ascii="Arial" w:hAnsi="Arial"/>
                <w:b/>
                <w:color w:val="222222"/>
                <w:sz w:val="21"/>
              </w:rPr>
              <w:t>TN-030  Transport Freight and Cross Border Logistics Procedure</w:t>
            </w:r>
          </w:p>
        </w:tc>
        <w:tc>
          <w:tcPr>
            <w:tcW w:type="dxa" w:w="1843"/>
            <w:vAlign w:val="center"/>
            <w:tcMar>
              <w:top w:w="85" w:type="dxa"/>
              <w:left w:w="100" w:type="dxa"/>
              <w:bottom w:w="85" w:type="dxa"/>
              <w:right w:w="100" w:type="dxa"/>
            </w:tcMar>
            <w:shd w:fill="DEF5EF"/>
          </w:tcPr>
          <w:p>
            <w:pPr>
              <w:spacing w:after="0" w:line="247" w:lineRule="auto"/>
            </w:pPr>
            <w:r>
              <w:rPr>
                <w:rFonts w:ascii="Arial" w:hAnsi="Arial"/>
                <w:b w:val="0"/>
                <w:color w:val="222222"/>
                <w:sz w:val="21"/>
              </w:rPr>
              <w:t>Logistics / Trade compliance</w:t>
            </w:r>
          </w:p>
        </w:tc>
        <w:tc>
          <w:tcPr>
            <w:tcW w:type="dxa" w:w="5429"/>
            <w:vAlign w:val="center"/>
            <w:tcMar>
              <w:top w:w="85" w:type="dxa"/>
              <w:left w:w="100" w:type="dxa"/>
              <w:bottom w:w="85" w:type="dxa"/>
              <w:right w:w="100" w:type="dxa"/>
            </w:tcMar>
            <w:shd w:fill="DEF5EF"/>
          </w:tcPr>
          <w:p>
            <w:pPr>
              <w:spacing w:after="0" w:line="247" w:lineRule="auto"/>
            </w:pPr>
            <w:r>
              <w:rPr>
                <w:rFonts w:ascii="Arial" w:hAnsi="Arial"/>
                <w:b w:val="0"/>
                <w:color w:val="222222"/>
                <w:sz w:val="21"/>
              </w:rPr>
              <w:t>Carrier selection, dispatch, load security, shipment tracking, customs documentation, import and export permits, dangerous goods and proof of delivery.</w:t>
            </w:r>
          </w:p>
        </w:tc>
      </w:tr>
    </w:tbl>
    <w:p>
      <w:r>
        <w:br w:type="page"/>
      </w:r>
    </w:p>
    <w:p>
      <w:pPr>
        <w:keepNext w:val="0"/>
        <w:spacing w:before="0" w:after="80" w:line="259" w:lineRule="auto"/>
      </w:pPr>
      <w:r>
        <w:rPr>
          <w:rFonts w:ascii="Arial" w:hAnsi="Arial"/>
          <w:b/>
          <w:color w:val="08746E"/>
          <w:sz w:val="18"/>
        </w:rPr>
        <w:t>CATALOGUE  04 / 10     |     11 DOCUMENTS</w:t>
      </w:r>
    </w:p>
    <w:p>
      <w:pPr>
        <w:pStyle w:val="Heading1"/>
        <w:keepNext/>
        <w:spacing w:before="240" w:after="200" w:line="259" w:lineRule="auto"/>
        <w:shd w:fill="DEF5EF"/>
        <w:ind w:left="173" w:right="115"/>
        <w:pBdr>
          <w:top w:val="single" w:sz="1" w:space="7" w:color="DEF5EF"/>
          <w:bottom w:val="single" w:sz="1" w:space="7" w:color="DEF5EF"/>
        </w:pBdr>
      </w:pPr>
      <w:r>
        <w:rPr>
          <w:rFonts w:ascii="Arial" w:hAnsi="Arial"/>
          <w:b/>
          <w:color w:val="08746E"/>
          <w:sz w:val="34"/>
        </w:rPr>
        <w:t>Supply chain contracting and logistics continued</w:t>
      </w:r>
    </w:p>
    <w:p>
      <w:pPr>
        <w:keepNext w:val="0"/>
        <w:spacing w:before="0" w:after="220" w:line="259" w:lineRule="auto"/>
      </w:pPr>
      <w:r>
        <w:rPr>
          <w:rFonts w:ascii="Arial" w:hAnsi="Arial"/>
          <w:b w:val="0"/>
          <w:color w:val="555555"/>
          <w:sz w:val="22"/>
        </w:rPr>
        <w:t>Responsible sourcing and dependable material flow</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53"/>
        <w:gridCol w:w="1843"/>
        <w:gridCol w:w="5429"/>
      </w:tblGrid>
      <w:tr>
        <w:trPr>
          <w:tblHeader/>
          <w:cantSplit/>
        </w:trPr>
        <w:tc>
          <w:tcPr>
            <w:tcW w:type="dxa" w:w="3053"/>
            <w:vAlign w:val="center"/>
            <w:tcMar>
              <w:top w:w="100" w:type="dxa"/>
              <w:left w:w="100" w:type="dxa"/>
              <w:bottom w:w="100" w:type="dxa"/>
              <w:right w:w="100" w:type="dxa"/>
            </w:tcMar>
            <w:shd w:fill="08746E"/>
          </w:tcPr>
          <w:p>
            <w:pPr>
              <w:spacing w:after="0" w:line="245" w:lineRule="auto"/>
            </w:pPr>
            <w:r>
              <w:rPr>
                <w:rFonts w:ascii="Arial" w:hAnsi="Arial"/>
                <w:b/>
                <w:color w:val="FFFFFF"/>
                <w:sz w:val="21"/>
              </w:rPr>
              <w:t>Document title</w:t>
            </w:r>
          </w:p>
        </w:tc>
        <w:tc>
          <w:tcPr>
            <w:tcW w:type="dxa" w:w="1843"/>
            <w:vAlign w:val="center"/>
            <w:tcMar>
              <w:top w:w="100" w:type="dxa"/>
              <w:left w:w="100" w:type="dxa"/>
              <w:bottom w:w="100" w:type="dxa"/>
              <w:right w:w="100" w:type="dxa"/>
            </w:tcMar>
            <w:shd w:fill="08746E"/>
          </w:tcPr>
          <w:p>
            <w:pPr>
              <w:spacing w:after="0" w:line="245" w:lineRule="auto"/>
            </w:pPr>
            <w:r>
              <w:rPr>
                <w:rFonts w:ascii="Arial" w:hAnsi="Arial"/>
                <w:b/>
                <w:color w:val="FFFFFF"/>
                <w:sz w:val="21"/>
              </w:rPr>
              <w:t>Applicable departments</w:t>
            </w:r>
          </w:p>
        </w:tc>
        <w:tc>
          <w:tcPr>
            <w:tcW w:type="dxa" w:w="5429"/>
            <w:vAlign w:val="center"/>
            <w:tcMar>
              <w:top w:w="100" w:type="dxa"/>
              <w:left w:w="100" w:type="dxa"/>
              <w:bottom w:w="100" w:type="dxa"/>
              <w:right w:w="100" w:type="dxa"/>
            </w:tcMar>
            <w:shd w:fill="08746E"/>
          </w:tcPr>
          <w:p>
            <w:pPr>
              <w:spacing w:after="0" w:line="245" w:lineRule="auto"/>
            </w:pPr>
            <w:r>
              <w:rPr>
                <w:rFonts w:ascii="Arial" w:hAnsi="Arial"/>
                <w:b/>
                <w:color w:val="FFFFFF"/>
                <w:sz w:val="21"/>
              </w:rPr>
              <w:t>What the document contains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TN-031  Surplus Materials and Asset Disposal Procedure</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Supply Chain / Finance</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Surplus identification, reuse, valuation, authorised sale or recycling, data removal from equipment, environmental controls and transparent disposal records.</w:t>
            </w:r>
          </w:p>
        </w:tc>
      </w:tr>
      <w:tr>
        <w:trPr>
          <w:cantSplit/>
        </w:trPr>
        <w:tc>
          <w:tcPr>
            <w:tcW w:type="dxa" w:w="3053"/>
            <w:vAlign w:val="center"/>
            <w:tcMar>
              <w:top w:w="85" w:type="dxa"/>
              <w:left w:w="100" w:type="dxa"/>
              <w:bottom w:w="85" w:type="dxa"/>
              <w:right w:w="100" w:type="dxa"/>
            </w:tcMar>
            <w:shd w:fill="DEF5EF"/>
          </w:tcPr>
          <w:p>
            <w:pPr>
              <w:spacing w:after="0" w:line="247" w:lineRule="auto"/>
            </w:pPr>
            <w:r>
              <w:rPr>
                <w:rFonts w:ascii="Arial" w:hAnsi="Arial"/>
                <w:b/>
                <w:color w:val="222222"/>
                <w:sz w:val="21"/>
              </w:rPr>
              <w:t>TN-082  Supplier Master Data and Banking Detail Change Procedure</w:t>
            </w:r>
          </w:p>
        </w:tc>
        <w:tc>
          <w:tcPr>
            <w:tcW w:type="dxa" w:w="1843"/>
            <w:vAlign w:val="center"/>
            <w:tcMar>
              <w:top w:w="85" w:type="dxa"/>
              <w:left w:w="100" w:type="dxa"/>
              <w:bottom w:w="85" w:type="dxa"/>
              <w:right w:w="100" w:type="dxa"/>
            </w:tcMar>
            <w:shd w:fill="DEF5EF"/>
          </w:tcPr>
          <w:p>
            <w:pPr>
              <w:spacing w:after="0" w:line="247" w:lineRule="auto"/>
            </w:pPr>
            <w:r>
              <w:rPr>
                <w:rFonts w:ascii="Arial" w:hAnsi="Arial"/>
                <w:b w:val="0"/>
                <w:color w:val="222222"/>
                <w:sz w:val="21"/>
              </w:rPr>
              <w:t>Procurement / Finance / IT</w:t>
            </w:r>
          </w:p>
        </w:tc>
        <w:tc>
          <w:tcPr>
            <w:tcW w:type="dxa" w:w="5429"/>
            <w:vAlign w:val="center"/>
            <w:tcMar>
              <w:top w:w="85" w:type="dxa"/>
              <w:left w:w="100" w:type="dxa"/>
              <w:bottom w:w="85" w:type="dxa"/>
              <w:right w:w="100" w:type="dxa"/>
            </w:tcMar>
            <w:shd w:fill="DEF5EF"/>
          </w:tcPr>
          <w:p>
            <w:pPr>
              <w:spacing w:after="0" w:line="247" w:lineRule="auto"/>
            </w:pPr>
            <w:r>
              <w:rPr>
                <w:rFonts w:ascii="Arial" w:hAnsi="Arial"/>
                <w:b w:val="0"/>
                <w:color w:val="222222"/>
                <w:sz w:val="21"/>
              </w:rPr>
              <w:t>Supplier record creation, duplicate detection, independently verified banking changes, separation of duties, approval evidence and periodic master-data reviews.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TN-083  Materials Returns Warranty and Supplier Recovery Procedure</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Stores / Procurement / Maintenance</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Defective-goods returns, warranty eligibility, repair tracking, supplier claims, credit recovery and reconciliation of replacement materials.</w:t>
            </w:r>
          </w:p>
        </w:tc>
      </w:tr>
      <w:tr>
        <w:trPr>
          <w:cantSplit/>
        </w:trPr>
        <w:tc>
          <w:tcPr>
            <w:tcW w:type="dxa" w:w="3053"/>
            <w:vAlign w:val="center"/>
            <w:tcMar>
              <w:top w:w="85" w:type="dxa"/>
              <w:left w:w="100" w:type="dxa"/>
              <w:bottom w:w="85" w:type="dxa"/>
              <w:right w:w="100" w:type="dxa"/>
            </w:tcMar>
            <w:shd w:fill="DEF5EF"/>
          </w:tcPr>
          <w:p>
            <w:pPr>
              <w:spacing w:after="0" w:line="247" w:lineRule="auto"/>
            </w:pPr>
            <w:r>
              <w:rPr>
                <w:rFonts w:ascii="Arial" w:hAnsi="Arial"/>
                <w:b/>
                <w:color w:val="222222"/>
                <w:sz w:val="21"/>
              </w:rPr>
              <w:t>TN-084  Fuel and Lubricant Accounting and Reconciliation Procedure</w:t>
            </w:r>
          </w:p>
        </w:tc>
        <w:tc>
          <w:tcPr>
            <w:tcW w:type="dxa" w:w="1843"/>
            <w:vAlign w:val="center"/>
            <w:tcMar>
              <w:top w:w="85" w:type="dxa"/>
              <w:left w:w="100" w:type="dxa"/>
              <w:bottom w:w="85" w:type="dxa"/>
              <w:right w:w="100" w:type="dxa"/>
            </w:tcMar>
            <w:shd w:fill="DEF5EF"/>
          </w:tcPr>
          <w:p>
            <w:pPr>
              <w:spacing w:after="0" w:line="247" w:lineRule="auto"/>
            </w:pPr>
            <w:r>
              <w:rPr>
                <w:rFonts w:ascii="Arial" w:hAnsi="Arial"/>
                <w:b w:val="0"/>
                <w:color w:val="222222"/>
                <w:sz w:val="21"/>
              </w:rPr>
              <w:t>Operations / Stores / Finance</w:t>
            </w:r>
          </w:p>
        </w:tc>
        <w:tc>
          <w:tcPr>
            <w:tcW w:type="dxa" w:w="5429"/>
            <w:vAlign w:val="center"/>
            <w:tcMar>
              <w:top w:w="85" w:type="dxa"/>
              <w:left w:w="100" w:type="dxa"/>
              <w:bottom w:w="85" w:type="dxa"/>
              <w:right w:w="100" w:type="dxa"/>
            </w:tcMar>
            <w:shd w:fill="DEF5EF"/>
          </w:tcPr>
          <w:p>
            <w:pPr>
              <w:spacing w:after="0" w:line="247" w:lineRule="auto"/>
            </w:pPr>
            <w:r>
              <w:rPr>
                <w:rFonts w:ascii="Arial" w:hAnsi="Arial"/>
                <w:b w:val="0"/>
                <w:color w:val="222222"/>
                <w:sz w:val="21"/>
              </w:rPr>
              <w:t>Receipt and dispensing records, equipment-level consumption, tank and stock reconciliation, measurement checks and investigation of unexplained losses.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TN-085  Critical Supply Disruption and Alternative Sourcing Plan</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Supply Chain / Operations / Risk</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Critical supply dependencies, disruption triggers, alternative suppliers, contingency stock, substitution approvals and coordinated supply recovery.</w:t>
            </w:r>
          </w:p>
        </w:tc>
      </w:tr>
    </w:tbl>
    <w:p>
      <w:r>
        <w:br w:type="page"/>
      </w:r>
    </w:p>
    <w:p>
      <w:pPr>
        <w:keepNext w:val="0"/>
        <w:spacing w:before="0" w:after="80" w:line="259" w:lineRule="auto"/>
      </w:pPr>
      <w:r>
        <w:rPr>
          <w:rFonts w:ascii="Arial" w:hAnsi="Arial"/>
          <w:b/>
          <w:color w:val="9B512B"/>
          <w:sz w:val="18"/>
        </w:rPr>
        <w:t>CATALOGUE  05 / 10     |     12 DOCUMENTS</w:t>
      </w:r>
    </w:p>
    <w:p>
      <w:pPr>
        <w:pStyle w:val="Heading1"/>
        <w:keepNext/>
        <w:spacing w:before="240" w:after="200" w:line="259" w:lineRule="auto"/>
        <w:shd w:fill="FFF0DF"/>
        <w:ind w:left="173" w:right="115"/>
        <w:pBdr>
          <w:top w:val="single" w:sz="1" w:space="7" w:color="FFF0DF"/>
          <w:bottom w:val="single" w:sz="1" w:space="7" w:color="FFF0DF"/>
        </w:pBdr>
      </w:pPr>
      <w:r>
        <w:rPr>
          <w:rFonts w:ascii="Arial" w:hAnsi="Arial"/>
          <w:b/>
          <w:color w:val="9B512B"/>
          <w:sz w:val="34"/>
        </w:rPr>
        <w:t>Exploration mining and production</w:t>
      </w:r>
    </w:p>
    <w:p>
      <w:pPr>
        <w:keepNext w:val="0"/>
        <w:spacing w:before="0" w:after="220" w:line="259" w:lineRule="auto"/>
      </w:pPr>
      <w:r>
        <w:rPr>
          <w:rFonts w:ascii="Arial" w:hAnsi="Arial"/>
          <w:b w:val="0"/>
          <w:color w:val="555555"/>
          <w:sz w:val="22"/>
        </w:rPr>
        <w:t>Technical controls from fieldwork to finished output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53"/>
        <w:gridCol w:w="1843"/>
        <w:gridCol w:w="5429"/>
      </w:tblGrid>
      <w:tr>
        <w:trPr>
          <w:tblHeader/>
          <w:cantSplit/>
        </w:trPr>
        <w:tc>
          <w:tcPr>
            <w:tcW w:type="dxa" w:w="3053"/>
            <w:vAlign w:val="center"/>
            <w:tcMar>
              <w:top w:w="100" w:type="dxa"/>
              <w:left w:w="100" w:type="dxa"/>
              <w:bottom w:w="100" w:type="dxa"/>
              <w:right w:w="100" w:type="dxa"/>
            </w:tcMar>
            <w:shd w:fill="9B512B"/>
          </w:tcPr>
          <w:p>
            <w:pPr>
              <w:spacing w:after="0" w:line="245" w:lineRule="auto"/>
            </w:pPr>
            <w:r>
              <w:rPr>
                <w:rFonts w:ascii="Arial" w:hAnsi="Arial"/>
                <w:b/>
                <w:color w:val="FFFFFF"/>
                <w:sz w:val="21"/>
              </w:rPr>
              <w:t>Document title</w:t>
            </w:r>
          </w:p>
        </w:tc>
        <w:tc>
          <w:tcPr>
            <w:tcW w:type="dxa" w:w="1843"/>
            <w:vAlign w:val="center"/>
            <w:tcMar>
              <w:top w:w="100" w:type="dxa"/>
              <w:left w:w="100" w:type="dxa"/>
              <w:bottom w:w="100" w:type="dxa"/>
              <w:right w:w="100" w:type="dxa"/>
            </w:tcMar>
            <w:shd w:fill="9B512B"/>
          </w:tcPr>
          <w:p>
            <w:pPr>
              <w:spacing w:after="0" w:line="245" w:lineRule="auto"/>
            </w:pPr>
            <w:r>
              <w:rPr>
                <w:rFonts w:ascii="Arial" w:hAnsi="Arial"/>
                <w:b/>
                <w:color w:val="FFFFFF"/>
                <w:sz w:val="21"/>
              </w:rPr>
              <w:t>Applicable departments</w:t>
            </w:r>
          </w:p>
        </w:tc>
        <w:tc>
          <w:tcPr>
            <w:tcW w:type="dxa" w:w="5429"/>
            <w:vAlign w:val="center"/>
            <w:tcMar>
              <w:top w:w="100" w:type="dxa"/>
              <w:left w:w="100" w:type="dxa"/>
              <w:bottom w:w="100" w:type="dxa"/>
              <w:right w:w="100" w:type="dxa"/>
            </w:tcMar>
            <w:shd w:fill="9B512B"/>
          </w:tcPr>
          <w:p>
            <w:pPr>
              <w:spacing w:after="0" w:line="245" w:lineRule="auto"/>
            </w:pPr>
            <w:r>
              <w:rPr>
                <w:rFonts w:ascii="Arial" w:hAnsi="Arial"/>
                <w:b/>
                <w:color w:val="FFFFFF"/>
                <w:sz w:val="21"/>
              </w:rPr>
              <w:t>What the document contains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TN-032  Exploration Fieldwork and Sample Integrity Procedure</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Exploration / Geology</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Field planning, drilling supervision, sampling methods, sample custody, laboratory submission, quality checks and rehabilitation of exploration disturbances.</w:t>
            </w:r>
          </w:p>
        </w:tc>
      </w:tr>
      <w:tr>
        <w:trPr>
          <w:cantSplit/>
        </w:trPr>
        <w:tc>
          <w:tcPr>
            <w:tcW w:type="dxa" w:w="3053"/>
            <w:vAlign w:val="center"/>
            <w:tcMar>
              <w:top w:w="85" w:type="dxa"/>
              <w:left w:w="100" w:type="dxa"/>
              <w:bottom w:w="85" w:type="dxa"/>
              <w:right w:w="100" w:type="dxa"/>
            </w:tcMar>
            <w:shd w:fill="FFF0DF"/>
          </w:tcPr>
          <w:p>
            <w:pPr>
              <w:spacing w:after="0" w:line="247" w:lineRule="auto"/>
            </w:pPr>
            <w:r>
              <w:rPr>
                <w:rFonts w:ascii="Arial" w:hAnsi="Arial"/>
                <w:b/>
                <w:color w:val="222222"/>
                <w:sz w:val="21"/>
              </w:rPr>
              <w:t>TN-033  Geological Data and Mineral Resource Governance Plan</w:t>
            </w:r>
          </w:p>
        </w:tc>
        <w:tc>
          <w:tcPr>
            <w:tcW w:type="dxa" w:w="1843"/>
            <w:vAlign w:val="center"/>
            <w:tcMar>
              <w:top w:w="85" w:type="dxa"/>
              <w:left w:w="100" w:type="dxa"/>
              <w:bottom w:w="85" w:type="dxa"/>
              <w:right w:w="100" w:type="dxa"/>
            </w:tcMar>
            <w:shd w:fill="FFF0DF"/>
          </w:tcPr>
          <w:p>
            <w:pPr>
              <w:spacing w:after="0" w:line="247" w:lineRule="auto"/>
            </w:pPr>
            <w:r>
              <w:rPr>
                <w:rFonts w:ascii="Arial" w:hAnsi="Arial"/>
                <w:b w:val="0"/>
                <w:color w:val="222222"/>
                <w:sz w:val="21"/>
              </w:rPr>
              <w:t>Geology / Resources</w:t>
            </w:r>
          </w:p>
        </w:tc>
        <w:tc>
          <w:tcPr>
            <w:tcW w:type="dxa" w:w="5429"/>
            <w:vAlign w:val="center"/>
            <w:tcMar>
              <w:top w:w="85" w:type="dxa"/>
              <w:left w:w="100" w:type="dxa"/>
              <w:bottom w:w="85" w:type="dxa"/>
              <w:right w:w="100" w:type="dxa"/>
            </w:tcMar>
            <w:shd w:fill="FFF0DF"/>
          </w:tcPr>
          <w:p>
            <w:pPr>
              <w:spacing w:after="0" w:line="247" w:lineRule="auto"/>
            </w:pPr>
            <w:r>
              <w:rPr>
                <w:rFonts w:ascii="Arial" w:hAnsi="Arial"/>
                <w:b w:val="0"/>
                <w:color w:val="222222"/>
                <w:sz w:val="21"/>
              </w:rPr>
              <w:t>Geological database controls, model updates, estimation reviews, reporting assumptions, competent-person responsibilities and traceability of resource and reserve disclosures.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TN-034  Integrated Mine Planning Survey and Grade Control Procedure</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Mine Planning / Survey</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Life-of-mine schedules, survey control, short-term plans, ore boundaries, dilution, reconciliation and coordination of mining, processing and waste placement.</w:t>
            </w:r>
          </w:p>
        </w:tc>
      </w:tr>
      <w:tr>
        <w:trPr>
          <w:cantSplit/>
        </w:trPr>
        <w:tc>
          <w:tcPr>
            <w:tcW w:type="dxa" w:w="3053"/>
            <w:vAlign w:val="center"/>
            <w:tcMar>
              <w:top w:w="85" w:type="dxa"/>
              <w:left w:w="100" w:type="dxa"/>
              <w:bottom w:w="85" w:type="dxa"/>
              <w:right w:w="100" w:type="dxa"/>
            </w:tcMar>
            <w:shd w:fill="FFF0DF"/>
          </w:tcPr>
          <w:p>
            <w:pPr>
              <w:spacing w:after="0" w:line="247" w:lineRule="auto"/>
            </w:pPr>
            <w:r>
              <w:rPr>
                <w:rFonts w:ascii="Arial" w:hAnsi="Arial"/>
                <w:b/>
                <w:color w:val="222222"/>
                <w:sz w:val="21"/>
              </w:rPr>
              <w:t>TN-035  Ground Stability and Geotechnical Control Plan</w:t>
            </w:r>
          </w:p>
        </w:tc>
        <w:tc>
          <w:tcPr>
            <w:tcW w:type="dxa" w:w="1843"/>
            <w:vAlign w:val="center"/>
            <w:tcMar>
              <w:top w:w="85" w:type="dxa"/>
              <w:left w:w="100" w:type="dxa"/>
              <w:bottom w:w="85" w:type="dxa"/>
              <w:right w:w="100" w:type="dxa"/>
            </w:tcMar>
            <w:shd w:fill="FFF0DF"/>
          </w:tcPr>
          <w:p>
            <w:pPr>
              <w:spacing w:after="0" w:line="247" w:lineRule="auto"/>
            </w:pPr>
            <w:r>
              <w:rPr>
                <w:rFonts w:ascii="Arial" w:hAnsi="Arial"/>
                <w:b w:val="0"/>
                <w:color w:val="222222"/>
                <w:sz w:val="21"/>
              </w:rPr>
              <w:t>Geotechnical / Mining</w:t>
            </w:r>
          </w:p>
        </w:tc>
        <w:tc>
          <w:tcPr>
            <w:tcW w:type="dxa" w:w="5429"/>
            <w:vAlign w:val="center"/>
            <w:tcMar>
              <w:top w:w="85" w:type="dxa"/>
              <w:left w:w="100" w:type="dxa"/>
              <w:bottom w:w="85" w:type="dxa"/>
              <w:right w:w="100" w:type="dxa"/>
            </w:tcMar>
            <w:shd w:fill="FFF0DF"/>
          </w:tcPr>
          <w:p>
            <w:pPr>
              <w:spacing w:after="0" w:line="247" w:lineRule="auto"/>
            </w:pPr>
            <w:r>
              <w:rPr>
                <w:rFonts w:ascii="Arial" w:hAnsi="Arial"/>
                <w:b w:val="0"/>
                <w:color w:val="222222"/>
                <w:sz w:val="21"/>
              </w:rPr>
              <w:t>Slope or excavation design criteria, ground support, inspections, monitoring thresholds, exclusion zones and trigger actions for changing ground conditions.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TN-036  Drilling Blasting and Explosives Control Procedure</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Mining / Drill and blast</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Approved blast designs, explosives custody, charging controls, exclusion and clearance, misfire response, blast records and vibration or flyrock monitoring.</w:t>
            </w:r>
          </w:p>
        </w:tc>
      </w:tr>
      <w:tr>
        <w:trPr>
          <w:cantSplit/>
        </w:trPr>
        <w:tc>
          <w:tcPr>
            <w:tcW w:type="dxa" w:w="3053"/>
            <w:vAlign w:val="center"/>
            <w:tcMar>
              <w:top w:w="85" w:type="dxa"/>
              <w:left w:w="100" w:type="dxa"/>
              <w:bottom w:w="85" w:type="dxa"/>
              <w:right w:w="100" w:type="dxa"/>
            </w:tcMar>
            <w:shd w:fill="FFF0DF"/>
          </w:tcPr>
          <w:p>
            <w:pPr>
              <w:spacing w:after="0" w:line="247" w:lineRule="auto"/>
            </w:pPr>
            <w:r>
              <w:rPr>
                <w:rFonts w:ascii="Arial" w:hAnsi="Arial"/>
                <w:b/>
                <w:color w:val="222222"/>
                <w:sz w:val="21"/>
              </w:rPr>
              <w:t>TN-037  Production Scheduling and Shift Handover Procedure</w:t>
            </w:r>
          </w:p>
        </w:tc>
        <w:tc>
          <w:tcPr>
            <w:tcW w:type="dxa" w:w="1843"/>
            <w:vAlign w:val="center"/>
            <w:tcMar>
              <w:top w:w="85" w:type="dxa"/>
              <w:left w:w="100" w:type="dxa"/>
              <w:bottom w:w="85" w:type="dxa"/>
              <w:right w:w="100" w:type="dxa"/>
            </w:tcMar>
            <w:shd w:fill="FFF0DF"/>
          </w:tcPr>
          <w:p>
            <w:pPr>
              <w:spacing w:after="0" w:line="247" w:lineRule="auto"/>
            </w:pPr>
            <w:r>
              <w:rPr>
                <w:rFonts w:ascii="Arial" w:hAnsi="Arial"/>
                <w:b w:val="0"/>
                <w:color w:val="222222"/>
                <w:sz w:val="21"/>
              </w:rPr>
              <w:t>Operations / Production</w:t>
            </w:r>
          </w:p>
        </w:tc>
        <w:tc>
          <w:tcPr>
            <w:tcW w:type="dxa" w:w="5429"/>
            <w:vAlign w:val="center"/>
            <w:tcMar>
              <w:top w:w="85" w:type="dxa"/>
              <w:left w:w="100" w:type="dxa"/>
              <w:bottom w:w="85" w:type="dxa"/>
              <w:right w:w="100" w:type="dxa"/>
            </w:tcMar>
            <w:shd w:fill="FFF0DF"/>
          </w:tcPr>
          <w:p>
            <w:pPr>
              <w:spacing w:after="0" w:line="247" w:lineRule="auto"/>
            </w:pPr>
            <w:r>
              <w:rPr>
                <w:rFonts w:ascii="Arial" w:hAnsi="Arial"/>
                <w:b w:val="0"/>
                <w:color w:val="222222"/>
                <w:sz w:val="21"/>
              </w:rPr>
              <w:t>Production targets, equipment readiness, work allocation, operating constraints, digital shift logs, deviation escalation and structured handover between crews.</w:t>
            </w:r>
          </w:p>
        </w:tc>
      </w:tr>
    </w:tbl>
    <w:p>
      <w:r>
        <w:br w:type="page"/>
      </w:r>
    </w:p>
    <w:p>
      <w:pPr>
        <w:keepNext w:val="0"/>
        <w:spacing w:before="0" w:after="80" w:line="259" w:lineRule="auto"/>
      </w:pPr>
      <w:r>
        <w:rPr>
          <w:rFonts w:ascii="Arial" w:hAnsi="Arial"/>
          <w:b/>
          <w:color w:val="9B512B"/>
          <w:sz w:val="18"/>
        </w:rPr>
        <w:t>CATALOGUE  05 / 10     |     12 DOCUMENTS</w:t>
      </w:r>
    </w:p>
    <w:p>
      <w:pPr>
        <w:pStyle w:val="Heading1"/>
        <w:keepNext/>
        <w:spacing w:before="240" w:after="200" w:line="259" w:lineRule="auto"/>
        <w:shd w:fill="FFF0DF"/>
        <w:ind w:left="173" w:right="115"/>
        <w:pBdr>
          <w:top w:val="single" w:sz="1" w:space="7" w:color="FFF0DF"/>
          <w:bottom w:val="single" w:sz="1" w:space="7" w:color="FFF0DF"/>
        </w:pBdr>
      </w:pPr>
      <w:r>
        <w:rPr>
          <w:rFonts w:ascii="Arial" w:hAnsi="Arial"/>
          <w:b/>
          <w:color w:val="9B512B"/>
          <w:sz w:val="34"/>
        </w:rPr>
        <w:t>Exploration mining and production continued</w:t>
      </w:r>
    </w:p>
    <w:p>
      <w:pPr>
        <w:keepNext w:val="0"/>
        <w:spacing w:before="0" w:after="220" w:line="259" w:lineRule="auto"/>
      </w:pPr>
      <w:r>
        <w:rPr>
          <w:rFonts w:ascii="Arial" w:hAnsi="Arial"/>
          <w:b w:val="0"/>
          <w:color w:val="555555"/>
          <w:sz w:val="22"/>
        </w:rPr>
        <w:t>Technical controls from fieldwork to finished output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53"/>
        <w:gridCol w:w="1843"/>
        <w:gridCol w:w="5429"/>
      </w:tblGrid>
      <w:tr>
        <w:trPr>
          <w:tblHeader/>
          <w:cantSplit/>
        </w:trPr>
        <w:tc>
          <w:tcPr>
            <w:tcW w:type="dxa" w:w="3053"/>
            <w:vAlign w:val="center"/>
            <w:tcMar>
              <w:top w:w="100" w:type="dxa"/>
              <w:left w:w="100" w:type="dxa"/>
              <w:bottom w:w="100" w:type="dxa"/>
              <w:right w:w="100" w:type="dxa"/>
            </w:tcMar>
            <w:shd w:fill="9B512B"/>
          </w:tcPr>
          <w:p>
            <w:pPr>
              <w:spacing w:after="0" w:line="245" w:lineRule="auto"/>
            </w:pPr>
            <w:r>
              <w:rPr>
                <w:rFonts w:ascii="Arial" w:hAnsi="Arial"/>
                <w:b/>
                <w:color w:val="FFFFFF"/>
                <w:sz w:val="21"/>
              </w:rPr>
              <w:t>Document title</w:t>
            </w:r>
          </w:p>
        </w:tc>
        <w:tc>
          <w:tcPr>
            <w:tcW w:type="dxa" w:w="1843"/>
            <w:vAlign w:val="center"/>
            <w:tcMar>
              <w:top w:w="100" w:type="dxa"/>
              <w:left w:w="100" w:type="dxa"/>
              <w:bottom w:w="100" w:type="dxa"/>
              <w:right w:w="100" w:type="dxa"/>
            </w:tcMar>
            <w:shd w:fill="9B512B"/>
          </w:tcPr>
          <w:p>
            <w:pPr>
              <w:spacing w:after="0" w:line="245" w:lineRule="auto"/>
            </w:pPr>
            <w:r>
              <w:rPr>
                <w:rFonts w:ascii="Arial" w:hAnsi="Arial"/>
                <w:b/>
                <w:color w:val="FFFFFF"/>
                <w:sz w:val="21"/>
              </w:rPr>
              <w:t>Applicable departments</w:t>
            </w:r>
          </w:p>
        </w:tc>
        <w:tc>
          <w:tcPr>
            <w:tcW w:type="dxa" w:w="5429"/>
            <w:vAlign w:val="center"/>
            <w:tcMar>
              <w:top w:w="100" w:type="dxa"/>
              <w:left w:w="100" w:type="dxa"/>
              <w:bottom w:w="100" w:type="dxa"/>
              <w:right w:w="100" w:type="dxa"/>
            </w:tcMar>
            <w:shd w:fill="9B512B"/>
          </w:tcPr>
          <w:p>
            <w:pPr>
              <w:spacing w:after="0" w:line="245" w:lineRule="auto"/>
            </w:pPr>
            <w:r>
              <w:rPr>
                <w:rFonts w:ascii="Arial" w:hAnsi="Arial"/>
                <w:b/>
                <w:color w:val="FFFFFF"/>
                <w:sz w:val="21"/>
              </w:rPr>
              <w:t>What the document contains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TN-038  Process Operating Envelope and Plant Control Manual</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Processing / Metallurgy</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Approved operating limits, start-up and shutdown, process hazards, alarms, interlocks, abnormal conditions and recovery controls for processing or industrial plant.</w:t>
            </w:r>
          </w:p>
        </w:tc>
      </w:tr>
      <w:tr>
        <w:trPr>
          <w:cantSplit/>
        </w:trPr>
        <w:tc>
          <w:tcPr>
            <w:tcW w:type="dxa" w:w="3053"/>
            <w:vAlign w:val="center"/>
            <w:tcMar>
              <w:top w:w="85" w:type="dxa"/>
              <w:left w:w="100" w:type="dxa"/>
              <w:bottom w:w="85" w:type="dxa"/>
              <w:right w:w="100" w:type="dxa"/>
            </w:tcMar>
            <w:shd w:fill="FFF0DF"/>
          </w:tcPr>
          <w:p>
            <w:pPr>
              <w:spacing w:after="0" w:line="247" w:lineRule="auto"/>
            </w:pPr>
            <w:r>
              <w:rPr>
                <w:rFonts w:ascii="Arial" w:hAnsi="Arial"/>
                <w:b/>
                <w:color w:val="222222"/>
                <w:sz w:val="21"/>
              </w:rPr>
              <w:t>TN-039  Product Recovery and Material Balance Procedure</w:t>
            </w:r>
          </w:p>
        </w:tc>
        <w:tc>
          <w:tcPr>
            <w:tcW w:type="dxa" w:w="1843"/>
            <w:vAlign w:val="center"/>
            <w:tcMar>
              <w:top w:w="85" w:type="dxa"/>
              <w:left w:w="100" w:type="dxa"/>
              <w:bottom w:w="85" w:type="dxa"/>
              <w:right w:w="100" w:type="dxa"/>
            </w:tcMar>
            <w:shd w:fill="FFF0DF"/>
          </w:tcPr>
          <w:p>
            <w:pPr>
              <w:spacing w:after="0" w:line="247" w:lineRule="auto"/>
            </w:pPr>
            <w:r>
              <w:rPr>
                <w:rFonts w:ascii="Arial" w:hAnsi="Arial"/>
                <w:b w:val="0"/>
                <w:color w:val="222222"/>
                <w:sz w:val="21"/>
              </w:rPr>
              <w:t>Metallurgy / Production</w:t>
            </w:r>
          </w:p>
        </w:tc>
        <w:tc>
          <w:tcPr>
            <w:tcW w:type="dxa" w:w="5429"/>
            <w:vAlign w:val="center"/>
            <w:tcMar>
              <w:top w:w="85" w:type="dxa"/>
              <w:left w:w="100" w:type="dxa"/>
              <w:bottom w:w="85" w:type="dxa"/>
              <w:right w:w="100" w:type="dxa"/>
            </w:tcMar>
            <w:shd w:fill="FFF0DF"/>
          </w:tcPr>
          <w:p>
            <w:pPr>
              <w:spacing w:after="0" w:line="247" w:lineRule="auto"/>
            </w:pPr>
            <w:r>
              <w:rPr>
                <w:rFonts w:ascii="Arial" w:hAnsi="Arial"/>
                <w:b w:val="0"/>
                <w:color w:val="222222"/>
                <w:sz w:val="21"/>
              </w:rPr>
              <w:t>Feed and output measurement, recovery monitoring, stockpile balances, metal or product accounting, yield losses and reconciliation of production data.</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TN-091  Underground Ventilation and Air Quality Management Plan</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Mining / Ventilation / Occupational Hygiene</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For underground operations: ventilation responsibilities, design reviews, air-quality monitoring, inspections and approved responses to deteriorating conditions.</w:t>
            </w:r>
          </w:p>
        </w:tc>
      </w:tr>
      <w:tr>
        <w:trPr>
          <w:cantSplit/>
        </w:trPr>
        <w:tc>
          <w:tcPr>
            <w:tcW w:type="dxa" w:w="3053"/>
            <w:vAlign w:val="center"/>
            <w:tcMar>
              <w:top w:w="85" w:type="dxa"/>
              <w:left w:w="100" w:type="dxa"/>
              <w:bottom w:w="85" w:type="dxa"/>
              <w:right w:w="100" w:type="dxa"/>
            </w:tcMar>
            <w:shd w:fill="FFF0DF"/>
          </w:tcPr>
          <w:p>
            <w:pPr>
              <w:spacing w:after="0" w:line="247" w:lineRule="auto"/>
            </w:pPr>
            <w:r>
              <w:rPr>
                <w:rFonts w:ascii="Arial" w:hAnsi="Arial"/>
                <w:b/>
                <w:color w:val="222222"/>
                <w:sz w:val="21"/>
              </w:rPr>
              <w:t>TN-092  Mine Dewatering and Water Inrush Management Plan</w:t>
            </w:r>
          </w:p>
        </w:tc>
        <w:tc>
          <w:tcPr>
            <w:tcW w:type="dxa" w:w="1843"/>
            <w:vAlign w:val="center"/>
            <w:tcMar>
              <w:top w:w="85" w:type="dxa"/>
              <w:left w:w="100" w:type="dxa"/>
              <w:bottom w:w="85" w:type="dxa"/>
              <w:right w:w="100" w:type="dxa"/>
            </w:tcMar>
            <w:shd w:fill="FFF0DF"/>
          </w:tcPr>
          <w:p>
            <w:pPr>
              <w:spacing w:after="0" w:line="247" w:lineRule="auto"/>
            </w:pPr>
            <w:r>
              <w:rPr>
                <w:rFonts w:ascii="Arial" w:hAnsi="Arial"/>
                <w:b w:val="0"/>
                <w:color w:val="222222"/>
                <w:sz w:val="21"/>
              </w:rPr>
              <w:t>Mining / Geotechnical / Engineering</w:t>
            </w:r>
          </w:p>
        </w:tc>
        <w:tc>
          <w:tcPr>
            <w:tcW w:type="dxa" w:w="5429"/>
            <w:vAlign w:val="center"/>
            <w:tcMar>
              <w:top w:w="85" w:type="dxa"/>
              <w:left w:w="100" w:type="dxa"/>
              <w:bottom w:w="85" w:type="dxa"/>
              <w:right w:w="100" w:type="dxa"/>
            </w:tcMar>
            <w:shd w:fill="FFF0DF"/>
          </w:tcPr>
          <w:p>
            <w:pPr>
              <w:spacing w:after="0" w:line="247" w:lineRule="auto"/>
            </w:pPr>
            <w:r>
              <w:rPr>
                <w:rFonts w:ascii="Arial" w:hAnsi="Arial"/>
                <w:b w:val="0"/>
                <w:color w:val="222222"/>
                <w:sz w:val="21"/>
              </w:rPr>
              <w:t>Where water ingress risks apply: water-source assessment, pumping arrangements, monitoring, warning thresholds, inspection and emergency-response interfaces.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TN-093  Autonomous and Remote Equipment Operating Framework</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Operations / Engineering / IT / Safety</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For autonomous or remotely operated equipment: operating zones, human interaction, communications failures, access control, change assessment and recovery responsibilities.</w:t>
            </w:r>
          </w:p>
        </w:tc>
      </w:tr>
      <w:tr>
        <w:trPr>
          <w:cantSplit/>
        </w:trPr>
        <w:tc>
          <w:tcPr>
            <w:tcW w:type="dxa" w:w="3053"/>
            <w:vAlign w:val="center"/>
            <w:tcMar>
              <w:top w:w="85" w:type="dxa"/>
              <w:left w:w="100" w:type="dxa"/>
              <w:bottom w:w="85" w:type="dxa"/>
              <w:right w:w="100" w:type="dxa"/>
            </w:tcMar>
            <w:shd w:fill="FFF0DF"/>
          </w:tcPr>
          <w:p>
            <w:pPr>
              <w:spacing w:after="0" w:line="247" w:lineRule="auto"/>
            </w:pPr>
            <w:r>
              <w:rPr>
                <w:rFonts w:ascii="Arial" w:hAnsi="Arial"/>
                <w:b/>
                <w:color w:val="222222"/>
                <w:sz w:val="21"/>
              </w:rPr>
              <w:t>TN-094  Drone Operations and Aerial Survey Procedure</w:t>
            </w:r>
          </w:p>
        </w:tc>
        <w:tc>
          <w:tcPr>
            <w:tcW w:type="dxa" w:w="1843"/>
            <w:vAlign w:val="center"/>
            <w:tcMar>
              <w:top w:w="85" w:type="dxa"/>
              <w:left w:w="100" w:type="dxa"/>
              <w:bottom w:w="85" w:type="dxa"/>
              <w:right w:w="100" w:type="dxa"/>
            </w:tcMar>
            <w:shd w:fill="FFF0DF"/>
          </w:tcPr>
          <w:p>
            <w:pPr>
              <w:spacing w:after="0" w:line="247" w:lineRule="auto"/>
            </w:pPr>
            <w:r>
              <w:rPr>
                <w:rFonts w:ascii="Arial" w:hAnsi="Arial"/>
                <w:b w:val="0"/>
                <w:color w:val="222222"/>
                <w:sz w:val="21"/>
              </w:rPr>
              <w:t>Survey / Geology / Security / Environment</w:t>
            </w:r>
          </w:p>
        </w:tc>
        <w:tc>
          <w:tcPr>
            <w:tcW w:type="dxa" w:w="5429"/>
            <w:vAlign w:val="center"/>
            <w:tcMar>
              <w:top w:w="85" w:type="dxa"/>
              <w:left w:w="100" w:type="dxa"/>
              <w:bottom w:w="85" w:type="dxa"/>
              <w:right w:w="100" w:type="dxa"/>
            </w:tcMar>
            <w:shd w:fill="FFF0DF"/>
          </w:tcPr>
          <w:p>
            <w:pPr>
              <w:spacing w:after="0" w:line="247" w:lineRule="auto"/>
            </w:pPr>
            <w:r>
              <w:rPr>
                <w:rFonts w:ascii="Arial" w:hAnsi="Arial"/>
                <w:b w:val="0"/>
                <w:color w:val="222222"/>
                <w:sz w:val="21"/>
              </w:rPr>
              <w:t>For drone-enabled activities: operating permissions, competent operators, flight planning, equipment checks, incident reporting and controlled survey-data handling.</w:t>
            </w:r>
          </w:p>
        </w:tc>
      </w:tr>
    </w:tbl>
    <w:p>
      <w:r>
        <w:br w:type="page"/>
      </w:r>
    </w:p>
    <w:p>
      <w:pPr>
        <w:keepNext w:val="0"/>
        <w:spacing w:before="0" w:after="80" w:line="259" w:lineRule="auto"/>
      </w:pPr>
      <w:r>
        <w:rPr>
          <w:rFonts w:ascii="Arial" w:hAnsi="Arial"/>
          <w:b/>
          <w:color w:val="4D60A1"/>
          <w:sz w:val="18"/>
        </w:rPr>
        <w:t>CATALOGUE  06 / 10     |     12 DOCUMENTS</w:t>
      </w:r>
    </w:p>
    <w:p>
      <w:pPr>
        <w:pStyle w:val="Heading1"/>
        <w:keepNext/>
        <w:spacing w:before="240" w:after="200" w:line="259" w:lineRule="auto"/>
        <w:shd w:fill="ECEFFF"/>
        <w:ind w:left="173" w:right="115"/>
        <w:pBdr>
          <w:top w:val="single" w:sz="1" w:space="7" w:color="ECEFFF"/>
          <w:bottom w:val="single" w:sz="1" w:space="7" w:color="ECEFFF"/>
        </w:pBdr>
      </w:pPr>
      <w:r>
        <w:rPr>
          <w:rFonts w:ascii="Arial" w:hAnsi="Arial"/>
          <w:b/>
          <w:color w:val="4D60A1"/>
          <w:sz w:val="34"/>
        </w:rPr>
        <w:t>Projects engineering maintenance and quality</w:t>
      </w:r>
    </w:p>
    <w:p>
      <w:pPr>
        <w:keepNext w:val="0"/>
        <w:spacing w:before="0" w:after="220" w:line="259" w:lineRule="auto"/>
      </w:pPr>
      <w:r>
        <w:rPr>
          <w:rFonts w:ascii="Arial" w:hAnsi="Arial"/>
          <w:b w:val="0"/>
          <w:color w:val="555555"/>
          <w:sz w:val="22"/>
        </w:rPr>
        <w:t>Controlled investment and dependable physical assets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53"/>
        <w:gridCol w:w="1843"/>
        <w:gridCol w:w="5429"/>
      </w:tblGrid>
      <w:tr>
        <w:trPr>
          <w:tblHeader/>
          <w:cantSplit/>
        </w:trPr>
        <w:tc>
          <w:tcPr>
            <w:tcW w:type="dxa" w:w="3053"/>
            <w:vAlign w:val="center"/>
            <w:tcMar>
              <w:top w:w="100" w:type="dxa"/>
              <w:left w:w="100" w:type="dxa"/>
              <w:bottom w:w="100" w:type="dxa"/>
              <w:right w:w="100" w:type="dxa"/>
            </w:tcMar>
            <w:shd w:fill="4D60A1"/>
          </w:tcPr>
          <w:p>
            <w:pPr>
              <w:spacing w:after="0" w:line="245" w:lineRule="auto"/>
            </w:pPr>
            <w:r>
              <w:rPr>
                <w:rFonts w:ascii="Arial" w:hAnsi="Arial"/>
                <w:b/>
                <w:color w:val="FFFFFF"/>
                <w:sz w:val="21"/>
              </w:rPr>
              <w:t>Document title</w:t>
            </w:r>
          </w:p>
        </w:tc>
        <w:tc>
          <w:tcPr>
            <w:tcW w:type="dxa" w:w="1843"/>
            <w:vAlign w:val="center"/>
            <w:tcMar>
              <w:top w:w="100" w:type="dxa"/>
              <w:left w:w="100" w:type="dxa"/>
              <w:bottom w:w="100" w:type="dxa"/>
              <w:right w:w="100" w:type="dxa"/>
            </w:tcMar>
            <w:shd w:fill="4D60A1"/>
          </w:tcPr>
          <w:p>
            <w:pPr>
              <w:spacing w:after="0" w:line="245" w:lineRule="auto"/>
            </w:pPr>
            <w:r>
              <w:rPr>
                <w:rFonts w:ascii="Arial" w:hAnsi="Arial"/>
                <w:b/>
                <w:color w:val="FFFFFF"/>
                <w:sz w:val="21"/>
              </w:rPr>
              <w:t>Applicable departments</w:t>
            </w:r>
          </w:p>
        </w:tc>
        <w:tc>
          <w:tcPr>
            <w:tcW w:type="dxa" w:w="5429"/>
            <w:vAlign w:val="center"/>
            <w:tcMar>
              <w:top w:w="100" w:type="dxa"/>
              <w:left w:w="100" w:type="dxa"/>
              <w:bottom w:w="100" w:type="dxa"/>
              <w:right w:w="100" w:type="dxa"/>
            </w:tcMar>
            <w:shd w:fill="4D60A1"/>
          </w:tcPr>
          <w:p>
            <w:pPr>
              <w:spacing w:after="0" w:line="245" w:lineRule="auto"/>
            </w:pPr>
            <w:r>
              <w:rPr>
                <w:rFonts w:ascii="Arial" w:hAnsi="Arial"/>
                <w:b/>
                <w:color w:val="FFFFFF"/>
                <w:sz w:val="21"/>
              </w:rPr>
              <w:t>What the document contains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TN-040  Investment Appraisal and Project Gate Framework</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Projects / Finance</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Feasibility options, business cases, technical and social risks, lifecycle costs, funding decisions and approval criteria at each project stage.</w:t>
            </w:r>
          </w:p>
        </w:tc>
      </w:tr>
      <w:tr>
        <w:trPr>
          <w:cantSplit/>
        </w:trPr>
        <w:tc>
          <w:tcPr>
            <w:tcW w:type="dxa" w:w="3053"/>
            <w:vAlign w:val="center"/>
            <w:tcMar>
              <w:top w:w="85" w:type="dxa"/>
              <w:left w:w="100" w:type="dxa"/>
              <w:bottom w:w="85" w:type="dxa"/>
              <w:right w:w="100" w:type="dxa"/>
            </w:tcMar>
            <w:shd w:fill="ECEFFF"/>
          </w:tcPr>
          <w:p>
            <w:pPr>
              <w:spacing w:after="0" w:line="247" w:lineRule="auto"/>
            </w:pPr>
            <w:r>
              <w:rPr>
                <w:rFonts w:ascii="Arial" w:hAnsi="Arial"/>
                <w:b/>
                <w:color w:val="222222"/>
                <w:sz w:val="21"/>
              </w:rPr>
              <w:t>TN-041  Project Delivery and Construction Control Plan</w:t>
            </w:r>
          </w:p>
        </w:tc>
        <w:tc>
          <w:tcPr>
            <w:tcW w:type="dxa" w:w="1843"/>
            <w:vAlign w:val="center"/>
            <w:tcMar>
              <w:top w:w="85" w:type="dxa"/>
              <w:left w:w="100" w:type="dxa"/>
              <w:bottom w:w="85" w:type="dxa"/>
              <w:right w:w="100" w:type="dxa"/>
            </w:tcMar>
            <w:shd w:fill="ECEFFF"/>
          </w:tcPr>
          <w:p>
            <w:pPr>
              <w:spacing w:after="0" w:line="247" w:lineRule="auto"/>
            </w:pPr>
            <w:r>
              <w:rPr>
                <w:rFonts w:ascii="Arial" w:hAnsi="Arial"/>
                <w:b w:val="0"/>
                <w:color w:val="222222"/>
                <w:sz w:val="21"/>
              </w:rPr>
              <w:t>Projects / Construction</w:t>
            </w:r>
          </w:p>
        </w:tc>
        <w:tc>
          <w:tcPr>
            <w:tcW w:type="dxa" w:w="5429"/>
            <w:vAlign w:val="center"/>
            <w:tcMar>
              <w:top w:w="85" w:type="dxa"/>
              <w:left w:w="100" w:type="dxa"/>
              <w:bottom w:w="85" w:type="dxa"/>
              <w:right w:w="100" w:type="dxa"/>
            </w:tcMar>
            <w:shd w:fill="ECEFFF"/>
          </w:tcPr>
          <w:p>
            <w:pPr>
              <w:spacing w:after="0" w:line="247" w:lineRule="auto"/>
            </w:pPr>
            <w:r>
              <w:rPr>
                <w:rFonts w:ascii="Arial" w:hAnsi="Arial"/>
                <w:b w:val="0"/>
                <w:color w:val="222222"/>
                <w:sz w:val="21"/>
              </w:rPr>
              <w:t>Scope, schedules, budgets, design interfaces, contractor coordination, construction quality, progress reporting, change control and completion records.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TN-042  Engineering Design and Management of Change Procedure</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Engineering / Operations</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Design standards, drawing control, technical reviews, change risk assessment, approvals, configuration records and validation before modified equipment enters service.</w:t>
            </w:r>
          </w:p>
        </w:tc>
      </w:tr>
      <w:tr>
        <w:trPr>
          <w:cantSplit/>
        </w:trPr>
        <w:tc>
          <w:tcPr>
            <w:tcW w:type="dxa" w:w="3053"/>
            <w:vAlign w:val="center"/>
            <w:tcMar>
              <w:top w:w="85" w:type="dxa"/>
              <w:left w:w="100" w:type="dxa"/>
              <w:bottom w:w="85" w:type="dxa"/>
              <w:right w:w="100" w:type="dxa"/>
            </w:tcMar>
            <w:shd w:fill="ECEFFF"/>
          </w:tcPr>
          <w:p>
            <w:pPr>
              <w:spacing w:after="0" w:line="247" w:lineRule="auto"/>
            </w:pPr>
            <w:r>
              <w:rPr>
                <w:rFonts w:ascii="Arial" w:hAnsi="Arial"/>
                <w:b/>
                <w:color w:val="222222"/>
                <w:sz w:val="21"/>
              </w:rPr>
              <w:t>TN-043  Commissioning and Operational Readiness Plan</w:t>
            </w:r>
          </w:p>
        </w:tc>
        <w:tc>
          <w:tcPr>
            <w:tcW w:type="dxa" w:w="1843"/>
            <w:vAlign w:val="center"/>
            <w:tcMar>
              <w:top w:w="85" w:type="dxa"/>
              <w:left w:w="100" w:type="dxa"/>
              <w:bottom w:w="85" w:type="dxa"/>
              <w:right w:w="100" w:type="dxa"/>
            </w:tcMar>
            <w:shd w:fill="ECEFFF"/>
          </w:tcPr>
          <w:p>
            <w:pPr>
              <w:spacing w:after="0" w:line="247" w:lineRule="auto"/>
            </w:pPr>
            <w:r>
              <w:rPr>
                <w:rFonts w:ascii="Arial" w:hAnsi="Arial"/>
                <w:b w:val="0"/>
                <w:color w:val="222222"/>
                <w:sz w:val="21"/>
              </w:rPr>
              <w:t>Projects / Operations</w:t>
            </w:r>
          </w:p>
        </w:tc>
        <w:tc>
          <w:tcPr>
            <w:tcW w:type="dxa" w:w="5429"/>
            <w:vAlign w:val="center"/>
            <w:tcMar>
              <w:top w:w="85" w:type="dxa"/>
              <w:left w:w="100" w:type="dxa"/>
              <w:bottom w:w="85" w:type="dxa"/>
              <w:right w:w="100" w:type="dxa"/>
            </w:tcMar>
            <w:shd w:fill="ECEFFF"/>
          </w:tcPr>
          <w:p>
            <w:pPr>
              <w:spacing w:after="0" w:line="247" w:lineRule="auto"/>
            </w:pPr>
            <w:r>
              <w:rPr>
                <w:rFonts w:ascii="Arial" w:hAnsi="Arial"/>
                <w:b w:val="0"/>
                <w:color w:val="222222"/>
                <w:sz w:val="21"/>
              </w:rPr>
              <w:t>System completion, pre-start reviews, testing, acceptance criteria, operator training, spare parts, handover packs and controlled transition into production.</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TN-044  Reliability and Maintenance Work Management Procedure</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Maintenance / Reliability</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Asset criticality, preventive and condition-based tasks, work orders, defect prioritisation, planning, scheduling, maintenance history and failure analysis.</w:t>
            </w:r>
          </w:p>
        </w:tc>
      </w:tr>
      <w:tr>
        <w:trPr>
          <w:cantSplit/>
        </w:trPr>
        <w:tc>
          <w:tcPr>
            <w:tcW w:type="dxa" w:w="3053"/>
            <w:vAlign w:val="center"/>
            <w:tcMar>
              <w:top w:w="85" w:type="dxa"/>
              <w:left w:w="100" w:type="dxa"/>
              <w:bottom w:w="85" w:type="dxa"/>
              <w:right w:w="100" w:type="dxa"/>
            </w:tcMar>
            <w:shd w:fill="ECEFFF"/>
          </w:tcPr>
          <w:p>
            <w:pPr>
              <w:spacing w:after="0" w:line="247" w:lineRule="auto"/>
            </w:pPr>
            <w:r>
              <w:rPr>
                <w:rFonts w:ascii="Arial" w:hAnsi="Arial"/>
                <w:b/>
                <w:color w:val="222222"/>
                <w:sz w:val="21"/>
              </w:rPr>
              <w:t>TN-045  Asset Integrity and Statutory Inspection Plan</w:t>
            </w:r>
          </w:p>
        </w:tc>
        <w:tc>
          <w:tcPr>
            <w:tcW w:type="dxa" w:w="1843"/>
            <w:vAlign w:val="center"/>
            <w:tcMar>
              <w:top w:w="85" w:type="dxa"/>
              <w:left w:w="100" w:type="dxa"/>
              <w:bottom w:w="85" w:type="dxa"/>
              <w:right w:w="100" w:type="dxa"/>
            </w:tcMar>
            <w:shd w:fill="ECEFFF"/>
          </w:tcPr>
          <w:p>
            <w:pPr>
              <w:spacing w:after="0" w:line="247" w:lineRule="auto"/>
            </w:pPr>
            <w:r>
              <w:rPr>
                <w:rFonts w:ascii="Arial" w:hAnsi="Arial"/>
                <w:b w:val="0"/>
                <w:color w:val="222222"/>
                <w:sz w:val="21"/>
              </w:rPr>
              <w:t>Engineering / Asset integrity</w:t>
            </w:r>
          </w:p>
        </w:tc>
        <w:tc>
          <w:tcPr>
            <w:tcW w:type="dxa" w:w="5429"/>
            <w:vAlign w:val="center"/>
            <w:tcMar>
              <w:top w:w="85" w:type="dxa"/>
              <w:left w:w="100" w:type="dxa"/>
              <w:bottom w:w="85" w:type="dxa"/>
              <w:right w:w="100" w:type="dxa"/>
            </w:tcMar>
            <w:shd w:fill="ECEFFF"/>
          </w:tcPr>
          <w:p>
            <w:pPr>
              <w:spacing w:after="0" w:line="247" w:lineRule="auto"/>
            </w:pPr>
            <w:r>
              <w:rPr>
                <w:rFonts w:ascii="Arial" w:hAnsi="Arial"/>
                <w:b w:val="0"/>
                <w:color w:val="222222"/>
                <w:sz w:val="21"/>
              </w:rPr>
              <w:t>Inspection programmes for structures, electrical systems, pressure equipment and lifting assets, with certification, defects, fitness-for-service decisions and remedial work.</w:t>
            </w:r>
          </w:p>
        </w:tc>
      </w:tr>
    </w:tbl>
    <w:p>
      <w:r>
        <w:br w:type="page"/>
      </w:r>
    </w:p>
    <w:p>
      <w:pPr>
        <w:keepNext w:val="0"/>
        <w:spacing w:before="0" w:after="80" w:line="259" w:lineRule="auto"/>
      </w:pPr>
      <w:r>
        <w:rPr>
          <w:rFonts w:ascii="Arial" w:hAnsi="Arial"/>
          <w:b/>
          <w:color w:val="4D60A1"/>
          <w:sz w:val="18"/>
        </w:rPr>
        <w:t>CATALOGUE  06 / 10     |     12 DOCUMENTS</w:t>
      </w:r>
    </w:p>
    <w:p>
      <w:pPr>
        <w:pStyle w:val="Heading1"/>
        <w:keepNext/>
        <w:spacing w:before="240" w:after="200" w:line="259" w:lineRule="auto"/>
        <w:shd w:fill="ECEFFF"/>
        <w:ind w:left="173" w:right="115"/>
        <w:pBdr>
          <w:top w:val="single" w:sz="1" w:space="7" w:color="ECEFFF"/>
          <w:bottom w:val="single" w:sz="1" w:space="7" w:color="ECEFFF"/>
        </w:pBdr>
      </w:pPr>
      <w:r>
        <w:rPr>
          <w:rFonts w:ascii="Arial" w:hAnsi="Arial"/>
          <w:b/>
          <w:color w:val="4D60A1"/>
          <w:sz w:val="34"/>
        </w:rPr>
        <w:t>Projects engineering maintenance and quality continued</w:t>
      </w:r>
    </w:p>
    <w:p>
      <w:pPr>
        <w:keepNext w:val="0"/>
        <w:spacing w:before="0" w:after="220" w:line="259" w:lineRule="auto"/>
      </w:pPr>
      <w:r>
        <w:rPr>
          <w:rFonts w:ascii="Arial" w:hAnsi="Arial"/>
          <w:b w:val="0"/>
          <w:color w:val="555555"/>
          <w:sz w:val="22"/>
        </w:rPr>
        <w:t>Controlled investment and dependable physical assets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53"/>
        <w:gridCol w:w="1843"/>
        <w:gridCol w:w="5429"/>
      </w:tblGrid>
      <w:tr>
        <w:trPr>
          <w:tblHeader/>
          <w:cantSplit/>
        </w:trPr>
        <w:tc>
          <w:tcPr>
            <w:tcW w:type="dxa" w:w="3053"/>
            <w:vAlign w:val="center"/>
            <w:tcMar>
              <w:top w:w="100" w:type="dxa"/>
              <w:left w:w="100" w:type="dxa"/>
              <w:bottom w:w="100" w:type="dxa"/>
              <w:right w:w="100" w:type="dxa"/>
            </w:tcMar>
            <w:shd w:fill="4D60A1"/>
          </w:tcPr>
          <w:p>
            <w:pPr>
              <w:spacing w:after="0" w:line="245" w:lineRule="auto"/>
            </w:pPr>
            <w:r>
              <w:rPr>
                <w:rFonts w:ascii="Arial" w:hAnsi="Arial"/>
                <w:b/>
                <w:color w:val="FFFFFF"/>
                <w:sz w:val="21"/>
              </w:rPr>
              <w:t>Document title</w:t>
            </w:r>
          </w:p>
        </w:tc>
        <w:tc>
          <w:tcPr>
            <w:tcW w:type="dxa" w:w="1843"/>
            <w:vAlign w:val="center"/>
            <w:tcMar>
              <w:top w:w="100" w:type="dxa"/>
              <w:left w:w="100" w:type="dxa"/>
              <w:bottom w:w="100" w:type="dxa"/>
              <w:right w:w="100" w:type="dxa"/>
            </w:tcMar>
            <w:shd w:fill="4D60A1"/>
          </w:tcPr>
          <w:p>
            <w:pPr>
              <w:spacing w:after="0" w:line="245" w:lineRule="auto"/>
            </w:pPr>
            <w:r>
              <w:rPr>
                <w:rFonts w:ascii="Arial" w:hAnsi="Arial"/>
                <w:b/>
                <w:color w:val="FFFFFF"/>
                <w:sz w:val="21"/>
              </w:rPr>
              <w:t>Applicable departments</w:t>
            </w:r>
          </w:p>
        </w:tc>
        <w:tc>
          <w:tcPr>
            <w:tcW w:type="dxa" w:w="5429"/>
            <w:vAlign w:val="center"/>
            <w:tcMar>
              <w:top w:w="100" w:type="dxa"/>
              <w:left w:w="100" w:type="dxa"/>
              <w:bottom w:w="100" w:type="dxa"/>
              <w:right w:w="100" w:type="dxa"/>
            </w:tcMar>
            <w:shd w:fill="4D60A1"/>
          </w:tcPr>
          <w:p>
            <w:pPr>
              <w:spacing w:after="0" w:line="245" w:lineRule="auto"/>
            </w:pPr>
            <w:r>
              <w:rPr>
                <w:rFonts w:ascii="Arial" w:hAnsi="Arial"/>
                <w:b/>
                <w:color w:val="FFFFFF"/>
                <w:sz w:val="21"/>
              </w:rPr>
              <w:t>What the document contains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TN-046  Shutdown and Turnaround Execution Procedure</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Maintenance / Operations</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Shutdown scope, resource planning, isolation coordination, contractor interfaces, schedule control, quality verification and safe handback for restart.</w:t>
            </w:r>
          </w:p>
        </w:tc>
      </w:tr>
      <w:tr>
        <w:trPr>
          <w:cantSplit/>
        </w:trPr>
        <w:tc>
          <w:tcPr>
            <w:tcW w:type="dxa" w:w="3053"/>
            <w:vAlign w:val="center"/>
            <w:tcMar>
              <w:top w:w="85" w:type="dxa"/>
              <w:left w:w="100" w:type="dxa"/>
              <w:bottom w:w="85" w:type="dxa"/>
              <w:right w:w="100" w:type="dxa"/>
            </w:tcMar>
            <w:shd w:fill="ECEFFF"/>
          </w:tcPr>
          <w:p>
            <w:pPr>
              <w:spacing w:after="0" w:line="247" w:lineRule="auto"/>
            </w:pPr>
            <w:r>
              <w:rPr>
                <w:rFonts w:ascii="Arial" w:hAnsi="Arial"/>
                <w:b/>
                <w:color w:val="222222"/>
                <w:sz w:val="21"/>
              </w:rPr>
              <w:t>TN-047  Quality Laboratory and Measurement Assurance Procedure</w:t>
            </w:r>
          </w:p>
        </w:tc>
        <w:tc>
          <w:tcPr>
            <w:tcW w:type="dxa" w:w="1843"/>
            <w:vAlign w:val="center"/>
            <w:tcMar>
              <w:top w:w="85" w:type="dxa"/>
              <w:left w:w="100" w:type="dxa"/>
              <w:bottom w:w="85" w:type="dxa"/>
              <w:right w:w="100" w:type="dxa"/>
            </w:tcMar>
            <w:shd w:fill="ECEFFF"/>
          </w:tcPr>
          <w:p>
            <w:pPr>
              <w:spacing w:after="0" w:line="247" w:lineRule="auto"/>
            </w:pPr>
            <w:r>
              <w:rPr>
                <w:rFonts w:ascii="Arial" w:hAnsi="Arial"/>
                <w:b w:val="0"/>
                <w:color w:val="222222"/>
                <w:sz w:val="21"/>
              </w:rPr>
              <w:t>Quality / Laboratory</w:t>
            </w:r>
          </w:p>
        </w:tc>
        <w:tc>
          <w:tcPr>
            <w:tcW w:type="dxa" w:w="5429"/>
            <w:vAlign w:val="center"/>
            <w:tcMar>
              <w:top w:w="85" w:type="dxa"/>
              <w:left w:w="100" w:type="dxa"/>
              <w:bottom w:w="85" w:type="dxa"/>
              <w:right w:w="100" w:type="dxa"/>
            </w:tcMar>
            <w:shd w:fill="ECEFFF"/>
          </w:tcPr>
          <w:p>
            <w:pPr>
              <w:spacing w:after="0" w:line="247" w:lineRule="auto"/>
            </w:pPr>
            <w:r>
              <w:rPr>
                <w:rFonts w:ascii="Arial" w:hAnsi="Arial"/>
                <w:b w:val="0"/>
                <w:color w:val="222222"/>
                <w:sz w:val="21"/>
              </w:rPr>
              <w:t>Specifications, sampling and testing, instrument calibration, laboratory quality controls, traceability, nonconforming outputs and corrective action verification.</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TN-087  Machine Guarding and Equipment Safeguarding Standard</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Engineering / Maintenance / Safety</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Safeguarding design requirements, access controls, inspections, defect escalation, modification reviews and approval before equipment returns to service.</w:t>
            </w:r>
          </w:p>
        </w:tc>
      </w:tr>
      <w:tr>
        <w:trPr>
          <w:cantSplit/>
        </w:trPr>
        <w:tc>
          <w:tcPr>
            <w:tcW w:type="dxa" w:w="3053"/>
            <w:vAlign w:val="center"/>
            <w:tcMar>
              <w:top w:w="85" w:type="dxa"/>
              <w:left w:w="100" w:type="dxa"/>
              <w:bottom w:w="85" w:type="dxa"/>
              <w:right w:w="100" w:type="dxa"/>
            </w:tcMar>
            <w:shd w:fill="ECEFFF"/>
          </w:tcPr>
          <w:p>
            <w:pPr>
              <w:spacing w:after="0" w:line="247" w:lineRule="auto"/>
            </w:pPr>
            <w:r>
              <w:rPr>
                <w:rFonts w:ascii="Arial" w:hAnsi="Arial"/>
                <w:b/>
                <w:color w:val="222222"/>
                <w:sz w:val="21"/>
              </w:rPr>
              <w:t>TN-088  Safety System Bypass and Override Control Procedure</w:t>
            </w:r>
          </w:p>
        </w:tc>
        <w:tc>
          <w:tcPr>
            <w:tcW w:type="dxa" w:w="1843"/>
            <w:vAlign w:val="center"/>
            <w:tcMar>
              <w:top w:w="85" w:type="dxa"/>
              <w:left w:w="100" w:type="dxa"/>
              <w:bottom w:w="85" w:type="dxa"/>
              <w:right w:w="100" w:type="dxa"/>
            </w:tcMar>
            <w:shd w:fill="ECEFFF"/>
          </w:tcPr>
          <w:p>
            <w:pPr>
              <w:spacing w:after="0" w:line="247" w:lineRule="auto"/>
            </w:pPr>
            <w:r>
              <w:rPr>
                <w:rFonts w:ascii="Arial" w:hAnsi="Arial"/>
                <w:b w:val="0"/>
                <w:color w:val="222222"/>
                <w:sz w:val="21"/>
              </w:rPr>
              <w:t>Control Engineering / Operations / Safety</w:t>
            </w:r>
          </w:p>
        </w:tc>
        <w:tc>
          <w:tcPr>
            <w:tcW w:type="dxa" w:w="5429"/>
            <w:vAlign w:val="center"/>
            <w:tcMar>
              <w:top w:w="85" w:type="dxa"/>
              <w:left w:w="100" w:type="dxa"/>
              <w:bottom w:w="85" w:type="dxa"/>
              <w:right w:w="100" w:type="dxa"/>
            </w:tcMar>
            <w:shd w:fill="ECEFFF"/>
          </w:tcPr>
          <w:p>
            <w:pPr>
              <w:spacing w:after="0" w:line="247" w:lineRule="auto"/>
            </w:pPr>
            <w:r>
              <w:rPr>
                <w:rFonts w:ascii="Arial" w:hAnsi="Arial"/>
                <w:b w:val="0"/>
                <w:color w:val="222222"/>
                <w:sz w:val="21"/>
              </w:rPr>
              <w:t>Risk assessment, authorisation, time limits, compensating controls, monitoring, handover and verified removal of temporary protective-system overrides.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TN-089  Industrial Utilities Reliability and Outage Response Plan</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Engineering / Utilities / Operations</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Critical power, compressed air, steam and other utility dependencies, resilience arrangements, outage priorities, communications and controlled restoration.</w:t>
            </w:r>
          </w:p>
        </w:tc>
      </w:tr>
      <w:tr>
        <w:trPr>
          <w:cantSplit/>
        </w:trPr>
        <w:tc>
          <w:tcPr>
            <w:tcW w:type="dxa" w:w="3053"/>
            <w:vAlign w:val="center"/>
            <w:tcMar>
              <w:top w:w="85" w:type="dxa"/>
              <w:left w:w="100" w:type="dxa"/>
              <w:bottom w:w="85" w:type="dxa"/>
              <w:right w:w="100" w:type="dxa"/>
            </w:tcMar>
            <w:shd w:fill="ECEFFF"/>
          </w:tcPr>
          <w:p>
            <w:pPr>
              <w:spacing w:after="0" w:line="247" w:lineRule="auto"/>
            </w:pPr>
            <w:r>
              <w:rPr>
                <w:rFonts w:ascii="Arial" w:hAnsi="Arial"/>
                <w:b/>
                <w:color w:val="222222"/>
                <w:sz w:val="21"/>
              </w:rPr>
              <w:t>TN-090  Welding Fabrication and Repair Quality Procedure</w:t>
            </w:r>
          </w:p>
        </w:tc>
        <w:tc>
          <w:tcPr>
            <w:tcW w:type="dxa" w:w="1843"/>
            <w:vAlign w:val="center"/>
            <w:tcMar>
              <w:top w:w="85" w:type="dxa"/>
              <w:left w:w="100" w:type="dxa"/>
              <w:bottom w:w="85" w:type="dxa"/>
              <w:right w:w="100" w:type="dxa"/>
            </w:tcMar>
            <w:shd w:fill="ECEFFF"/>
          </w:tcPr>
          <w:p>
            <w:pPr>
              <w:spacing w:after="0" w:line="247" w:lineRule="auto"/>
            </w:pPr>
            <w:r>
              <w:rPr>
                <w:rFonts w:ascii="Arial" w:hAnsi="Arial"/>
                <w:b w:val="0"/>
                <w:color w:val="222222"/>
                <w:sz w:val="21"/>
              </w:rPr>
              <w:t>Engineering / Maintenance / Quality</w:t>
            </w:r>
          </w:p>
        </w:tc>
        <w:tc>
          <w:tcPr>
            <w:tcW w:type="dxa" w:w="5429"/>
            <w:vAlign w:val="center"/>
            <w:tcMar>
              <w:top w:w="85" w:type="dxa"/>
              <w:left w:w="100" w:type="dxa"/>
              <w:bottom w:w="85" w:type="dxa"/>
              <w:right w:w="100" w:type="dxa"/>
            </w:tcMar>
            <w:shd w:fill="ECEFFF"/>
          </w:tcPr>
          <w:p>
            <w:pPr>
              <w:spacing w:after="0" w:line="247" w:lineRule="auto"/>
            </w:pPr>
            <w:r>
              <w:rPr>
                <w:rFonts w:ascii="Arial" w:hAnsi="Arial"/>
                <w:b w:val="0"/>
                <w:color w:val="222222"/>
                <w:sz w:val="21"/>
              </w:rPr>
              <w:t>Approved fabrication and repair methods, personnel qualifications, material traceability, inspection requirements, acceptance criteria and retained quality records.</w:t>
            </w:r>
          </w:p>
        </w:tc>
      </w:tr>
    </w:tbl>
    <w:p>
      <w:r>
        <w:br w:type="page"/>
      </w:r>
    </w:p>
    <w:p>
      <w:pPr>
        <w:keepNext w:val="0"/>
        <w:spacing w:before="0" w:after="80" w:line="259" w:lineRule="auto"/>
      </w:pPr>
      <w:r>
        <w:rPr>
          <w:rFonts w:ascii="Arial" w:hAnsi="Arial"/>
          <w:b/>
          <w:color w:val="AA3B42"/>
          <w:sz w:val="18"/>
        </w:rPr>
        <w:t>CATALOGUE  07 / 10     |     11 DOCUMENTS</w:t>
      </w:r>
    </w:p>
    <w:p>
      <w:pPr>
        <w:pStyle w:val="Heading1"/>
        <w:keepNext/>
        <w:spacing w:before="240" w:after="200" w:line="259" w:lineRule="auto"/>
        <w:shd w:fill="FCE8E9"/>
        <w:ind w:left="173" w:right="115"/>
        <w:pBdr>
          <w:top w:val="single" w:sz="1" w:space="7" w:color="FCE8E9"/>
          <w:bottom w:val="single" w:sz="1" w:space="7" w:color="FCE8E9"/>
        </w:pBdr>
      </w:pPr>
      <w:r>
        <w:rPr>
          <w:rFonts w:ascii="Arial" w:hAnsi="Arial"/>
          <w:b/>
          <w:color w:val="AA3B42"/>
          <w:sz w:val="34"/>
        </w:rPr>
        <w:t>Safety health emergency response and security</w:t>
      </w:r>
    </w:p>
    <w:p>
      <w:pPr>
        <w:keepNext w:val="0"/>
        <w:spacing w:before="0" w:after="220" w:line="259" w:lineRule="auto"/>
      </w:pPr>
      <w:r>
        <w:rPr>
          <w:rFonts w:ascii="Arial" w:hAnsi="Arial"/>
          <w:b w:val="0"/>
          <w:color w:val="555555"/>
          <w:sz w:val="22"/>
        </w:rPr>
        <w:t>Practical controls for high consequence risks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53"/>
        <w:gridCol w:w="1843"/>
        <w:gridCol w:w="5429"/>
      </w:tblGrid>
      <w:tr>
        <w:trPr>
          <w:tblHeader/>
          <w:cantSplit/>
        </w:trPr>
        <w:tc>
          <w:tcPr>
            <w:tcW w:type="dxa" w:w="3053"/>
            <w:vAlign w:val="center"/>
            <w:tcMar>
              <w:top w:w="100" w:type="dxa"/>
              <w:left w:w="100" w:type="dxa"/>
              <w:bottom w:w="100" w:type="dxa"/>
              <w:right w:w="100" w:type="dxa"/>
            </w:tcMar>
            <w:shd w:fill="AA3B42"/>
          </w:tcPr>
          <w:p>
            <w:pPr>
              <w:spacing w:after="0" w:line="245" w:lineRule="auto"/>
            </w:pPr>
            <w:r>
              <w:rPr>
                <w:rFonts w:ascii="Arial" w:hAnsi="Arial"/>
                <w:b/>
                <w:color w:val="FFFFFF"/>
                <w:sz w:val="21"/>
              </w:rPr>
              <w:t>Document title</w:t>
            </w:r>
          </w:p>
        </w:tc>
        <w:tc>
          <w:tcPr>
            <w:tcW w:type="dxa" w:w="1843"/>
            <w:vAlign w:val="center"/>
            <w:tcMar>
              <w:top w:w="100" w:type="dxa"/>
              <w:left w:w="100" w:type="dxa"/>
              <w:bottom w:w="100" w:type="dxa"/>
              <w:right w:w="100" w:type="dxa"/>
            </w:tcMar>
            <w:shd w:fill="AA3B42"/>
          </w:tcPr>
          <w:p>
            <w:pPr>
              <w:spacing w:after="0" w:line="245" w:lineRule="auto"/>
            </w:pPr>
            <w:r>
              <w:rPr>
                <w:rFonts w:ascii="Arial" w:hAnsi="Arial"/>
                <w:b/>
                <w:color w:val="FFFFFF"/>
                <w:sz w:val="21"/>
              </w:rPr>
              <w:t>Applicable departments</w:t>
            </w:r>
          </w:p>
        </w:tc>
        <w:tc>
          <w:tcPr>
            <w:tcW w:type="dxa" w:w="5429"/>
            <w:vAlign w:val="center"/>
            <w:tcMar>
              <w:top w:w="100" w:type="dxa"/>
              <w:left w:w="100" w:type="dxa"/>
              <w:bottom w:w="100" w:type="dxa"/>
              <w:right w:w="100" w:type="dxa"/>
            </w:tcMar>
            <w:shd w:fill="AA3B42"/>
          </w:tcPr>
          <w:p>
            <w:pPr>
              <w:spacing w:after="0" w:line="245" w:lineRule="auto"/>
            </w:pPr>
            <w:r>
              <w:rPr>
                <w:rFonts w:ascii="Arial" w:hAnsi="Arial"/>
                <w:b/>
                <w:color w:val="FFFFFF"/>
                <w:sz w:val="21"/>
              </w:rPr>
              <w:t>What the document contains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TN-048  Safety Risk and Critical Control Framework</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Safety / Operational leaders</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Major hazard identification, critical control standards, accountable owners, field verification, stop-work authority and escalation when essential controls are missing.</w:t>
            </w:r>
          </w:p>
        </w:tc>
      </w:tr>
      <w:tr>
        <w:trPr>
          <w:cantSplit/>
        </w:trPr>
        <w:tc>
          <w:tcPr>
            <w:tcW w:type="dxa" w:w="3053"/>
            <w:vAlign w:val="center"/>
            <w:tcMar>
              <w:top w:w="85" w:type="dxa"/>
              <w:left w:w="100" w:type="dxa"/>
              <w:bottom w:w="85" w:type="dxa"/>
              <w:right w:w="100" w:type="dxa"/>
            </w:tcMar>
            <w:shd w:fill="FCE8E9"/>
          </w:tcPr>
          <w:p>
            <w:pPr>
              <w:spacing w:after="0" w:line="247" w:lineRule="auto"/>
            </w:pPr>
            <w:r>
              <w:rPr>
                <w:rFonts w:ascii="Arial" w:hAnsi="Arial"/>
                <w:b/>
                <w:color w:val="222222"/>
                <w:sz w:val="21"/>
              </w:rPr>
              <w:t>TN-049  Permit to Work and Hazardous Energy Isolation Procedure</w:t>
            </w:r>
          </w:p>
        </w:tc>
        <w:tc>
          <w:tcPr>
            <w:tcW w:type="dxa" w:w="1843"/>
            <w:vAlign w:val="center"/>
            <w:tcMar>
              <w:top w:w="85" w:type="dxa"/>
              <w:left w:w="100" w:type="dxa"/>
              <w:bottom w:w="85" w:type="dxa"/>
              <w:right w:w="100" w:type="dxa"/>
            </w:tcMar>
            <w:shd w:fill="FCE8E9"/>
          </w:tcPr>
          <w:p>
            <w:pPr>
              <w:spacing w:after="0" w:line="247" w:lineRule="auto"/>
            </w:pPr>
            <w:r>
              <w:rPr>
                <w:rFonts w:ascii="Arial" w:hAnsi="Arial"/>
                <w:b w:val="0"/>
                <w:color w:val="222222"/>
                <w:sz w:val="21"/>
              </w:rPr>
              <w:t>Safety / Engineering</w:t>
            </w:r>
          </w:p>
        </w:tc>
        <w:tc>
          <w:tcPr>
            <w:tcW w:type="dxa" w:w="5429"/>
            <w:vAlign w:val="center"/>
            <w:tcMar>
              <w:top w:w="85" w:type="dxa"/>
              <w:left w:w="100" w:type="dxa"/>
              <w:bottom w:w="85" w:type="dxa"/>
              <w:right w:w="100" w:type="dxa"/>
            </w:tcMar>
            <w:shd w:fill="FCE8E9"/>
          </w:tcPr>
          <w:p>
            <w:pPr>
              <w:spacing w:after="0" w:line="247" w:lineRule="auto"/>
            </w:pPr>
            <w:r>
              <w:rPr>
                <w:rFonts w:ascii="Arial" w:hAnsi="Arial"/>
                <w:b w:val="0"/>
                <w:color w:val="222222"/>
                <w:sz w:val="21"/>
              </w:rPr>
              <w:t>Work permits, simultaneous activities, electrical and mechanical isolation, stored-energy release, lockout verification, permit suspension and controlled reinstatement.</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TN-050  Mobile Equipment and Site Traffic Management Plan</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Mining / Transport safety</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Road design, pedestrian separation, vehicle interaction, pre-use checks, speed controls, operator authorisation and interfaces with collision-avoidance technology.</w:t>
            </w:r>
          </w:p>
        </w:tc>
      </w:tr>
      <w:tr>
        <w:trPr>
          <w:cantSplit/>
        </w:trPr>
        <w:tc>
          <w:tcPr>
            <w:tcW w:type="dxa" w:w="3053"/>
            <w:vAlign w:val="center"/>
            <w:tcMar>
              <w:top w:w="85" w:type="dxa"/>
              <w:left w:w="100" w:type="dxa"/>
              <w:bottom w:w="85" w:type="dxa"/>
              <w:right w:w="100" w:type="dxa"/>
            </w:tcMar>
            <w:shd w:fill="FCE8E9"/>
          </w:tcPr>
          <w:p>
            <w:pPr>
              <w:spacing w:after="0" w:line="247" w:lineRule="auto"/>
            </w:pPr>
            <w:r>
              <w:rPr>
                <w:rFonts w:ascii="Arial" w:hAnsi="Arial"/>
                <w:b/>
                <w:color w:val="222222"/>
                <w:sz w:val="21"/>
              </w:rPr>
              <w:t>TN-051  Occupational Health Hygiene and Fitness for Work Plan</w:t>
            </w:r>
          </w:p>
        </w:tc>
        <w:tc>
          <w:tcPr>
            <w:tcW w:type="dxa" w:w="1843"/>
            <w:vAlign w:val="center"/>
            <w:tcMar>
              <w:top w:w="85" w:type="dxa"/>
              <w:left w:w="100" w:type="dxa"/>
              <w:bottom w:w="85" w:type="dxa"/>
              <w:right w:w="100" w:type="dxa"/>
            </w:tcMar>
            <w:shd w:fill="FCE8E9"/>
          </w:tcPr>
          <w:p>
            <w:pPr>
              <w:spacing w:after="0" w:line="247" w:lineRule="auto"/>
            </w:pPr>
            <w:r>
              <w:rPr>
                <w:rFonts w:ascii="Arial" w:hAnsi="Arial"/>
                <w:b w:val="0"/>
                <w:color w:val="222222"/>
                <w:sz w:val="21"/>
              </w:rPr>
              <w:t>Occupational Health / Safety</w:t>
            </w:r>
          </w:p>
        </w:tc>
        <w:tc>
          <w:tcPr>
            <w:tcW w:type="dxa" w:w="5429"/>
            <w:vAlign w:val="center"/>
            <w:tcMar>
              <w:top w:w="85" w:type="dxa"/>
              <w:left w:w="100" w:type="dxa"/>
              <w:bottom w:w="85" w:type="dxa"/>
              <w:right w:w="100" w:type="dxa"/>
            </w:tcMar>
            <w:shd w:fill="FCE8E9"/>
          </w:tcPr>
          <w:p>
            <w:pPr>
              <w:spacing w:after="0" w:line="247" w:lineRule="auto"/>
            </w:pPr>
            <w:r>
              <w:rPr>
                <w:rFonts w:ascii="Arial" w:hAnsi="Arial"/>
                <w:b w:val="0"/>
                <w:color w:val="222222"/>
                <w:sz w:val="21"/>
              </w:rPr>
              <w:t>Exposure assessment, dust, noise, heat and radiation where relevant, medical surveillance, confidential health records and fitness-for-work decisions.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TN-052  Emergency Preparedness and Crisis Response Plan</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Emergency Services / Executive</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Credible emergencies, command roles, evacuation, rescue, medical response, external coordination, crisis communication and drills across office and remote sites.</w:t>
            </w:r>
          </w:p>
        </w:tc>
      </w:tr>
      <w:tr>
        <w:trPr>
          <w:cantSplit/>
        </w:trPr>
        <w:tc>
          <w:tcPr>
            <w:tcW w:type="dxa" w:w="3053"/>
            <w:vAlign w:val="center"/>
            <w:tcMar>
              <w:top w:w="85" w:type="dxa"/>
              <w:left w:w="100" w:type="dxa"/>
              <w:bottom w:w="85" w:type="dxa"/>
              <w:right w:w="100" w:type="dxa"/>
            </w:tcMar>
            <w:shd w:fill="FCE8E9"/>
          </w:tcPr>
          <w:p>
            <w:pPr>
              <w:spacing w:after="0" w:line="247" w:lineRule="auto"/>
            </w:pPr>
            <w:r>
              <w:rPr>
                <w:rFonts w:ascii="Arial" w:hAnsi="Arial"/>
                <w:b/>
                <w:color w:val="222222"/>
                <w:sz w:val="21"/>
              </w:rPr>
              <w:t>TN-053  Incident Learning and Corrective Action Procedure</w:t>
            </w:r>
          </w:p>
        </w:tc>
        <w:tc>
          <w:tcPr>
            <w:tcW w:type="dxa" w:w="1843"/>
            <w:vAlign w:val="center"/>
            <w:tcMar>
              <w:top w:w="85" w:type="dxa"/>
              <w:left w:w="100" w:type="dxa"/>
              <w:bottom w:w="85" w:type="dxa"/>
              <w:right w:w="100" w:type="dxa"/>
            </w:tcMar>
            <w:shd w:fill="FCE8E9"/>
          </w:tcPr>
          <w:p>
            <w:pPr>
              <w:spacing w:after="0" w:line="247" w:lineRule="auto"/>
            </w:pPr>
            <w:r>
              <w:rPr>
                <w:rFonts w:ascii="Arial" w:hAnsi="Arial"/>
                <w:b w:val="0"/>
                <w:color w:val="222222"/>
                <w:sz w:val="21"/>
              </w:rPr>
              <w:t>Safety / Department heads</w:t>
            </w:r>
          </w:p>
        </w:tc>
        <w:tc>
          <w:tcPr>
            <w:tcW w:type="dxa" w:w="5429"/>
            <w:vAlign w:val="center"/>
            <w:tcMar>
              <w:top w:w="85" w:type="dxa"/>
              <w:left w:w="100" w:type="dxa"/>
              <w:bottom w:w="85" w:type="dxa"/>
              <w:right w:w="100" w:type="dxa"/>
            </w:tcMar>
            <w:shd w:fill="FCE8E9"/>
          </w:tcPr>
          <w:p>
            <w:pPr>
              <w:spacing w:after="0" w:line="247" w:lineRule="auto"/>
            </w:pPr>
            <w:r>
              <w:rPr>
                <w:rFonts w:ascii="Arial" w:hAnsi="Arial"/>
                <w:b w:val="0"/>
                <w:color w:val="222222"/>
                <w:sz w:val="21"/>
              </w:rPr>
              <w:t>Near-miss and event capture, evidence preservation, required notifications, investigation, causal analysis, shared learning and effectiveness checks on corrective actions.</w:t>
            </w:r>
          </w:p>
        </w:tc>
      </w:tr>
    </w:tbl>
    <w:p>
      <w:r>
        <w:br w:type="page"/>
      </w:r>
    </w:p>
    <w:p>
      <w:pPr>
        <w:keepNext w:val="0"/>
        <w:spacing w:before="0" w:after="80" w:line="259" w:lineRule="auto"/>
      </w:pPr>
      <w:r>
        <w:rPr>
          <w:rFonts w:ascii="Arial" w:hAnsi="Arial"/>
          <w:b/>
          <w:color w:val="AA3B42"/>
          <w:sz w:val="18"/>
        </w:rPr>
        <w:t>CATALOGUE  07 / 10     |     11 DOCUMENTS</w:t>
      </w:r>
    </w:p>
    <w:p>
      <w:pPr>
        <w:pStyle w:val="Heading1"/>
        <w:keepNext/>
        <w:spacing w:before="240" w:after="200" w:line="259" w:lineRule="auto"/>
        <w:shd w:fill="FCE8E9"/>
        <w:ind w:left="173" w:right="115"/>
        <w:pBdr>
          <w:top w:val="single" w:sz="1" w:space="7" w:color="FCE8E9"/>
          <w:bottom w:val="single" w:sz="1" w:space="7" w:color="FCE8E9"/>
        </w:pBdr>
      </w:pPr>
      <w:r>
        <w:rPr>
          <w:rFonts w:ascii="Arial" w:hAnsi="Arial"/>
          <w:b/>
          <w:color w:val="AA3B42"/>
          <w:sz w:val="34"/>
        </w:rPr>
        <w:t>Safety health emergency response and security continued</w:t>
      </w:r>
    </w:p>
    <w:p>
      <w:pPr>
        <w:keepNext w:val="0"/>
        <w:spacing w:before="0" w:after="220" w:line="259" w:lineRule="auto"/>
      </w:pPr>
      <w:r>
        <w:rPr>
          <w:rFonts w:ascii="Arial" w:hAnsi="Arial"/>
          <w:b w:val="0"/>
          <w:color w:val="555555"/>
          <w:sz w:val="22"/>
        </w:rPr>
        <w:t>Practical controls for high consequence risks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53"/>
        <w:gridCol w:w="1843"/>
        <w:gridCol w:w="5429"/>
      </w:tblGrid>
      <w:tr>
        <w:trPr>
          <w:tblHeader/>
          <w:cantSplit/>
        </w:trPr>
        <w:tc>
          <w:tcPr>
            <w:tcW w:type="dxa" w:w="3053"/>
            <w:vAlign w:val="center"/>
            <w:tcMar>
              <w:top w:w="100" w:type="dxa"/>
              <w:left w:w="100" w:type="dxa"/>
              <w:bottom w:w="100" w:type="dxa"/>
              <w:right w:w="100" w:type="dxa"/>
            </w:tcMar>
            <w:shd w:fill="AA3B42"/>
          </w:tcPr>
          <w:p>
            <w:pPr>
              <w:spacing w:after="0" w:line="245" w:lineRule="auto"/>
            </w:pPr>
            <w:r>
              <w:rPr>
                <w:rFonts w:ascii="Arial" w:hAnsi="Arial"/>
                <w:b/>
                <w:color w:val="FFFFFF"/>
                <w:sz w:val="21"/>
              </w:rPr>
              <w:t>Document title</w:t>
            </w:r>
          </w:p>
        </w:tc>
        <w:tc>
          <w:tcPr>
            <w:tcW w:type="dxa" w:w="1843"/>
            <w:vAlign w:val="center"/>
            <w:tcMar>
              <w:top w:w="100" w:type="dxa"/>
              <w:left w:w="100" w:type="dxa"/>
              <w:bottom w:w="100" w:type="dxa"/>
              <w:right w:w="100" w:type="dxa"/>
            </w:tcMar>
            <w:shd w:fill="AA3B42"/>
          </w:tcPr>
          <w:p>
            <w:pPr>
              <w:spacing w:after="0" w:line="245" w:lineRule="auto"/>
            </w:pPr>
            <w:r>
              <w:rPr>
                <w:rFonts w:ascii="Arial" w:hAnsi="Arial"/>
                <w:b/>
                <w:color w:val="FFFFFF"/>
                <w:sz w:val="21"/>
              </w:rPr>
              <w:t>Applicable departments</w:t>
            </w:r>
          </w:p>
        </w:tc>
        <w:tc>
          <w:tcPr>
            <w:tcW w:type="dxa" w:w="5429"/>
            <w:vAlign w:val="center"/>
            <w:tcMar>
              <w:top w:w="100" w:type="dxa"/>
              <w:left w:w="100" w:type="dxa"/>
              <w:bottom w:w="100" w:type="dxa"/>
              <w:right w:w="100" w:type="dxa"/>
            </w:tcMar>
            <w:shd w:fill="AA3B42"/>
          </w:tcPr>
          <w:p>
            <w:pPr>
              <w:spacing w:after="0" w:line="245" w:lineRule="auto"/>
            </w:pPr>
            <w:r>
              <w:rPr>
                <w:rFonts w:ascii="Arial" w:hAnsi="Arial"/>
                <w:b/>
                <w:color w:val="FFFFFF"/>
                <w:sz w:val="21"/>
              </w:rPr>
              <w:t>What the document contains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TN-054  High Risk Task and Safe Work Procedure Suite</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Safety / Technical departments</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Task-specific controls for confined spaces, work at height, lifting, hot work, electrical work and other site hazards, including authorisation and rescue arrangements.</w:t>
            </w:r>
          </w:p>
        </w:tc>
      </w:tr>
      <w:tr>
        <w:trPr>
          <w:cantSplit/>
        </w:trPr>
        <w:tc>
          <w:tcPr>
            <w:tcW w:type="dxa" w:w="3053"/>
            <w:vAlign w:val="center"/>
            <w:tcMar>
              <w:top w:w="85" w:type="dxa"/>
              <w:left w:w="100" w:type="dxa"/>
              <w:bottom w:w="85" w:type="dxa"/>
              <w:right w:w="100" w:type="dxa"/>
            </w:tcMar>
            <w:shd w:fill="FCE8E9"/>
          </w:tcPr>
          <w:p>
            <w:pPr>
              <w:spacing w:after="0" w:line="247" w:lineRule="auto"/>
            </w:pPr>
            <w:r>
              <w:rPr>
                <w:rFonts w:ascii="Arial" w:hAnsi="Arial"/>
                <w:b/>
                <w:color w:val="222222"/>
                <w:sz w:val="21"/>
              </w:rPr>
              <w:t>TN-055  Contractor Mobilisation and Site Safety Procedure</w:t>
            </w:r>
          </w:p>
        </w:tc>
        <w:tc>
          <w:tcPr>
            <w:tcW w:type="dxa" w:w="1843"/>
            <w:vAlign w:val="center"/>
            <w:tcMar>
              <w:top w:w="85" w:type="dxa"/>
              <w:left w:w="100" w:type="dxa"/>
              <w:bottom w:w="85" w:type="dxa"/>
              <w:right w:w="100" w:type="dxa"/>
            </w:tcMar>
            <w:shd w:fill="FCE8E9"/>
          </w:tcPr>
          <w:p>
            <w:pPr>
              <w:spacing w:after="0" w:line="247" w:lineRule="auto"/>
            </w:pPr>
            <w:r>
              <w:rPr>
                <w:rFonts w:ascii="Arial" w:hAnsi="Arial"/>
                <w:b w:val="0"/>
                <w:color w:val="222222"/>
                <w:sz w:val="21"/>
              </w:rPr>
              <w:t>Contractor Management / Safety</w:t>
            </w:r>
          </w:p>
        </w:tc>
        <w:tc>
          <w:tcPr>
            <w:tcW w:type="dxa" w:w="5429"/>
            <w:vAlign w:val="center"/>
            <w:tcMar>
              <w:top w:w="85" w:type="dxa"/>
              <w:left w:w="100" w:type="dxa"/>
              <w:bottom w:w="85" w:type="dxa"/>
              <w:right w:w="100" w:type="dxa"/>
            </w:tcMar>
            <w:shd w:fill="FCE8E9"/>
          </w:tcPr>
          <w:p>
            <w:pPr>
              <w:spacing w:after="0" w:line="247" w:lineRule="auto"/>
            </w:pPr>
            <w:r>
              <w:rPr>
                <w:rFonts w:ascii="Arial" w:hAnsi="Arial"/>
                <w:b w:val="0"/>
                <w:color w:val="222222"/>
                <w:sz w:val="21"/>
              </w:rPr>
              <w:t>Safety prequalification, competence checks, induction, work-scope risks, supervision, field inspections, incident interfaces and demobilisation controls for contractor personnel.</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TN-056  Physical Security and Human Rights Procedure</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Security / Community relations</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Access control, asset protection, surveillance, security-provider conduct, proportionate response, human-rights safeguards, incident escalation and handling of security complaints.</w:t>
            </w:r>
          </w:p>
        </w:tc>
      </w:tr>
      <w:tr>
        <w:trPr>
          <w:cantSplit/>
        </w:trPr>
        <w:tc>
          <w:tcPr>
            <w:tcW w:type="dxa" w:w="3053"/>
            <w:vAlign w:val="center"/>
            <w:tcMar>
              <w:top w:w="85" w:type="dxa"/>
              <w:left w:w="100" w:type="dxa"/>
              <w:bottom w:w="85" w:type="dxa"/>
              <w:right w:w="100" w:type="dxa"/>
            </w:tcMar>
            <w:shd w:fill="FCE8E9"/>
          </w:tcPr>
          <w:p>
            <w:pPr>
              <w:spacing w:after="0" w:line="247" w:lineRule="auto"/>
            </w:pPr>
            <w:r>
              <w:rPr>
                <w:rFonts w:ascii="Arial" w:hAnsi="Arial"/>
                <w:b/>
                <w:color w:val="222222"/>
                <w:sz w:val="21"/>
              </w:rPr>
              <w:t>TN-086  Process Safety and Major Accident Prevention Framework</w:t>
            </w:r>
          </w:p>
        </w:tc>
        <w:tc>
          <w:tcPr>
            <w:tcW w:type="dxa" w:w="1843"/>
            <w:vAlign w:val="center"/>
            <w:tcMar>
              <w:top w:w="85" w:type="dxa"/>
              <w:left w:w="100" w:type="dxa"/>
              <w:bottom w:w="85" w:type="dxa"/>
              <w:right w:w="100" w:type="dxa"/>
            </w:tcMar>
            <w:shd w:fill="FCE8E9"/>
          </w:tcPr>
          <w:p>
            <w:pPr>
              <w:spacing w:after="0" w:line="247" w:lineRule="auto"/>
            </w:pPr>
            <w:r>
              <w:rPr>
                <w:rFonts w:ascii="Arial" w:hAnsi="Arial"/>
                <w:b w:val="0"/>
                <w:color w:val="222222"/>
                <w:sz w:val="21"/>
              </w:rPr>
              <w:t>Engineering / Operations / Safety</w:t>
            </w:r>
          </w:p>
        </w:tc>
        <w:tc>
          <w:tcPr>
            <w:tcW w:type="dxa" w:w="5429"/>
            <w:vAlign w:val="center"/>
            <w:tcMar>
              <w:top w:w="85" w:type="dxa"/>
              <w:left w:w="100" w:type="dxa"/>
              <w:bottom w:w="85" w:type="dxa"/>
              <w:right w:w="100" w:type="dxa"/>
            </w:tcMar>
            <w:shd w:fill="FCE8E9"/>
          </w:tcPr>
          <w:p>
            <w:pPr>
              <w:spacing w:after="0" w:line="247" w:lineRule="auto"/>
            </w:pPr>
            <w:r>
              <w:rPr>
                <w:rFonts w:ascii="Arial" w:hAnsi="Arial"/>
                <w:b w:val="0"/>
                <w:color w:val="222222"/>
                <w:sz w:val="21"/>
              </w:rPr>
              <w:t>Process hazard reviews, major accident scenarios, prevention and mitigation barriers, accountable owners and assurance of essential controls for applicable processes.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TN-097  Radiation Protection and Monitoring Plan</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Radiation Protection / Occupational Health / Operations</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Where radiation risks apply: specialist responsibilities, exposure assessment, monitoring programmes, controlled areas, records and escalation of abnormal results.</w:t>
            </w:r>
          </w:p>
        </w:tc>
      </w:tr>
    </w:tbl>
    <w:p>
      <w:r>
        <w:br w:type="page"/>
      </w:r>
    </w:p>
    <w:p>
      <w:pPr>
        <w:keepNext w:val="0"/>
        <w:spacing w:before="0" w:after="80" w:line="259" w:lineRule="auto"/>
      </w:pPr>
      <w:r>
        <w:rPr>
          <w:rFonts w:ascii="Arial" w:hAnsi="Arial"/>
          <w:b/>
          <w:color w:val="3D763E"/>
          <w:sz w:val="18"/>
        </w:rPr>
        <w:t>CATALOGUE  08 / 10     |     11 DOCUMENTS</w:t>
      </w:r>
    </w:p>
    <w:p>
      <w:pPr>
        <w:pStyle w:val="Heading1"/>
        <w:keepNext/>
        <w:spacing w:before="240" w:after="200" w:line="259" w:lineRule="auto"/>
        <w:shd w:fill="EAF5DF"/>
        <w:ind w:left="173" w:right="115"/>
        <w:pBdr>
          <w:top w:val="single" w:sz="1" w:space="7" w:color="EAF5DF"/>
          <w:bottom w:val="single" w:sz="1" w:space="7" w:color="EAF5DF"/>
        </w:pBdr>
      </w:pPr>
      <w:r>
        <w:rPr>
          <w:rFonts w:ascii="Arial" w:hAnsi="Arial"/>
          <w:b/>
          <w:color w:val="3D763E"/>
          <w:sz w:val="34"/>
        </w:rPr>
        <w:t>Environment communities and closure</w:t>
      </w:r>
    </w:p>
    <w:p>
      <w:pPr>
        <w:keepNext w:val="0"/>
        <w:spacing w:before="0" w:after="220" w:line="259" w:lineRule="auto"/>
      </w:pPr>
      <w:r>
        <w:rPr>
          <w:rFonts w:ascii="Arial" w:hAnsi="Arial"/>
          <w:b w:val="0"/>
          <w:color w:val="555555"/>
          <w:sz w:val="22"/>
        </w:rPr>
        <w:t>Responsible management throughout the asset lifecycle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53"/>
        <w:gridCol w:w="1843"/>
        <w:gridCol w:w="5429"/>
      </w:tblGrid>
      <w:tr>
        <w:trPr>
          <w:tblHeader/>
          <w:cantSplit/>
        </w:trPr>
        <w:tc>
          <w:tcPr>
            <w:tcW w:type="dxa" w:w="3053"/>
            <w:vAlign w:val="center"/>
            <w:tcMar>
              <w:top w:w="100" w:type="dxa"/>
              <w:left w:w="100" w:type="dxa"/>
              <w:bottom w:w="100" w:type="dxa"/>
              <w:right w:w="100" w:type="dxa"/>
            </w:tcMar>
            <w:shd w:fill="3D763E"/>
          </w:tcPr>
          <w:p>
            <w:pPr>
              <w:spacing w:after="0" w:line="245" w:lineRule="auto"/>
            </w:pPr>
            <w:r>
              <w:rPr>
                <w:rFonts w:ascii="Arial" w:hAnsi="Arial"/>
                <w:b/>
                <w:color w:val="FFFFFF"/>
                <w:sz w:val="21"/>
              </w:rPr>
              <w:t>Document title</w:t>
            </w:r>
          </w:p>
        </w:tc>
        <w:tc>
          <w:tcPr>
            <w:tcW w:type="dxa" w:w="1843"/>
            <w:vAlign w:val="center"/>
            <w:tcMar>
              <w:top w:w="100" w:type="dxa"/>
              <w:left w:w="100" w:type="dxa"/>
              <w:bottom w:w="100" w:type="dxa"/>
              <w:right w:w="100" w:type="dxa"/>
            </w:tcMar>
            <w:shd w:fill="3D763E"/>
          </w:tcPr>
          <w:p>
            <w:pPr>
              <w:spacing w:after="0" w:line="245" w:lineRule="auto"/>
            </w:pPr>
            <w:r>
              <w:rPr>
                <w:rFonts w:ascii="Arial" w:hAnsi="Arial"/>
                <w:b/>
                <w:color w:val="FFFFFF"/>
                <w:sz w:val="21"/>
              </w:rPr>
              <w:t>Applicable departments</w:t>
            </w:r>
          </w:p>
        </w:tc>
        <w:tc>
          <w:tcPr>
            <w:tcW w:type="dxa" w:w="5429"/>
            <w:vAlign w:val="center"/>
            <w:tcMar>
              <w:top w:w="100" w:type="dxa"/>
              <w:left w:w="100" w:type="dxa"/>
              <w:bottom w:w="100" w:type="dxa"/>
              <w:right w:w="100" w:type="dxa"/>
            </w:tcMar>
            <w:shd w:fill="3D763E"/>
          </w:tcPr>
          <w:p>
            <w:pPr>
              <w:spacing w:after="0" w:line="245" w:lineRule="auto"/>
            </w:pPr>
            <w:r>
              <w:rPr>
                <w:rFonts w:ascii="Arial" w:hAnsi="Arial"/>
                <w:b/>
                <w:color w:val="FFFFFF"/>
                <w:sz w:val="21"/>
              </w:rPr>
              <w:t>What the document contains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TN-057  Environmental and Social Impact Management Plan</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Environment / Social performance</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Impact assessments, approval commitments, operational controls, monitoring, inspections, biodiversity protection and corrective actions across project and operating phases.</w:t>
            </w:r>
          </w:p>
        </w:tc>
      </w:tr>
      <w:tr>
        <w:trPr>
          <w:cantSplit/>
        </w:trPr>
        <w:tc>
          <w:tcPr>
            <w:tcW w:type="dxa" w:w="3053"/>
            <w:vAlign w:val="center"/>
            <w:tcMar>
              <w:top w:w="85" w:type="dxa"/>
              <w:left w:w="100" w:type="dxa"/>
              <w:bottom w:w="85" w:type="dxa"/>
              <w:right w:w="100" w:type="dxa"/>
            </w:tcMar>
            <w:shd w:fill="EAF5DF"/>
          </w:tcPr>
          <w:p>
            <w:pPr>
              <w:spacing w:after="0" w:line="247" w:lineRule="auto"/>
            </w:pPr>
            <w:r>
              <w:rPr>
                <w:rFonts w:ascii="Arial" w:hAnsi="Arial"/>
                <w:b/>
                <w:color w:val="222222"/>
                <w:sz w:val="21"/>
              </w:rPr>
              <w:t>TN-058  Water Stewardship and Site Water Balance Plan</w:t>
            </w:r>
          </w:p>
        </w:tc>
        <w:tc>
          <w:tcPr>
            <w:tcW w:type="dxa" w:w="1843"/>
            <w:vAlign w:val="center"/>
            <w:tcMar>
              <w:top w:w="85" w:type="dxa"/>
              <w:left w:w="100" w:type="dxa"/>
              <w:bottom w:w="85" w:type="dxa"/>
              <w:right w:w="100" w:type="dxa"/>
            </w:tcMar>
            <w:shd w:fill="EAF5DF"/>
          </w:tcPr>
          <w:p>
            <w:pPr>
              <w:spacing w:after="0" w:line="247" w:lineRule="auto"/>
            </w:pPr>
            <w:r>
              <w:rPr>
                <w:rFonts w:ascii="Arial" w:hAnsi="Arial"/>
                <w:b w:val="0"/>
                <w:color w:val="222222"/>
                <w:sz w:val="21"/>
              </w:rPr>
              <w:t>Environment / Utilities</w:t>
            </w:r>
          </w:p>
        </w:tc>
        <w:tc>
          <w:tcPr>
            <w:tcW w:type="dxa" w:w="5429"/>
            <w:vAlign w:val="center"/>
            <w:tcMar>
              <w:top w:w="85" w:type="dxa"/>
              <w:left w:w="100" w:type="dxa"/>
              <w:bottom w:w="85" w:type="dxa"/>
              <w:right w:w="100" w:type="dxa"/>
            </w:tcMar>
            <w:shd w:fill="EAF5DF"/>
          </w:tcPr>
          <w:p>
            <w:pPr>
              <w:spacing w:after="0" w:line="247" w:lineRule="auto"/>
            </w:pPr>
            <w:r>
              <w:rPr>
                <w:rFonts w:ascii="Arial" w:hAnsi="Arial"/>
                <w:b w:val="0"/>
                <w:color w:val="222222"/>
                <w:sz w:val="21"/>
              </w:rPr>
              <w:t>Water sources, demand, abstraction, reuse, groundwater monitoring, discharge quality, drought and flood scenarios, catchment impacts and community water interfaces.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TN-059  Tailings and Mine Waste Facility Management Plan</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Tailings / Technical services</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Facility accountability, design records, operating limits, surveillance, independent review, trigger actions, emergency interfaces and closure planning for applicable facilities.</w:t>
            </w:r>
          </w:p>
        </w:tc>
      </w:tr>
      <w:tr>
        <w:trPr>
          <w:cantSplit/>
        </w:trPr>
        <w:tc>
          <w:tcPr>
            <w:tcW w:type="dxa" w:w="3053"/>
            <w:vAlign w:val="center"/>
            <w:tcMar>
              <w:top w:w="85" w:type="dxa"/>
              <w:left w:w="100" w:type="dxa"/>
              <w:bottom w:w="85" w:type="dxa"/>
              <w:right w:w="100" w:type="dxa"/>
            </w:tcMar>
            <w:shd w:fill="EAF5DF"/>
          </w:tcPr>
          <w:p>
            <w:pPr>
              <w:spacing w:after="0" w:line="247" w:lineRule="auto"/>
            </w:pPr>
            <w:r>
              <w:rPr>
                <w:rFonts w:ascii="Arial" w:hAnsi="Arial"/>
                <w:b/>
                <w:color w:val="222222"/>
                <w:sz w:val="21"/>
              </w:rPr>
              <w:t>TN-060  Hazardous Substances Waste and Spill Control Procedure</w:t>
            </w:r>
          </w:p>
        </w:tc>
        <w:tc>
          <w:tcPr>
            <w:tcW w:type="dxa" w:w="1843"/>
            <w:vAlign w:val="center"/>
            <w:tcMar>
              <w:top w:w="85" w:type="dxa"/>
              <w:left w:w="100" w:type="dxa"/>
              <w:bottom w:w="85" w:type="dxa"/>
              <w:right w:w="100" w:type="dxa"/>
            </w:tcMar>
            <w:shd w:fill="EAF5DF"/>
          </w:tcPr>
          <w:p>
            <w:pPr>
              <w:spacing w:after="0" w:line="247" w:lineRule="auto"/>
            </w:pPr>
            <w:r>
              <w:rPr>
                <w:rFonts w:ascii="Arial" w:hAnsi="Arial"/>
                <w:b w:val="0"/>
                <w:color w:val="222222"/>
                <w:sz w:val="21"/>
              </w:rPr>
              <w:t>Environment / Operations</w:t>
            </w:r>
          </w:p>
        </w:tc>
        <w:tc>
          <w:tcPr>
            <w:tcW w:type="dxa" w:w="5429"/>
            <w:vAlign w:val="center"/>
            <w:tcMar>
              <w:top w:w="85" w:type="dxa"/>
              <w:left w:w="100" w:type="dxa"/>
              <w:bottom w:w="85" w:type="dxa"/>
              <w:right w:w="100" w:type="dxa"/>
            </w:tcMar>
            <w:shd w:fill="EAF5DF"/>
          </w:tcPr>
          <w:p>
            <w:pPr>
              <w:spacing w:after="0" w:line="247" w:lineRule="auto"/>
            </w:pPr>
            <w:r>
              <w:rPr>
                <w:rFonts w:ascii="Arial" w:hAnsi="Arial"/>
                <w:b w:val="0"/>
                <w:color w:val="222222"/>
                <w:sz w:val="21"/>
              </w:rPr>
              <w:t>Chemical approval, safety data, compatible storage, fuel handling, hazardous waste, spill response, waste tracking and verified treatment or disposal routes.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TN-061  Energy Carbon and Climate Resilience Plan</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Sustainability / Engineering</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Energy baselines, emissions inventories, efficiency projects, transition options, physical climate risks, resilience measures and evidence supporting reported progress.</w:t>
            </w:r>
          </w:p>
        </w:tc>
      </w:tr>
      <w:tr>
        <w:trPr>
          <w:cantSplit/>
        </w:trPr>
        <w:tc>
          <w:tcPr>
            <w:tcW w:type="dxa" w:w="3053"/>
            <w:vAlign w:val="center"/>
            <w:tcMar>
              <w:top w:w="85" w:type="dxa"/>
              <w:left w:w="100" w:type="dxa"/>
              <w:bottom w:w="85" w:type="dxa"/>
              <w:right w:w="100" w:type="dxa"/>
            </w:tcMar>
            <w:shd w:fill="EAF5DF"/>
          </w:tcPr>
          <w:p>
            <w:pPr>
              <w:spacing w:after="0" w:line="247" w:lineRule="auto"/>
            </w:pPr>
            <w:r>
              <w:rPr>
                <w:rFonts w:ascii="Arial" w:hAnsi="Arial"/>
                <w:b/>
                <w:color w:val="222222"/>
                <w:sz w:val="21"/>
              </w:rPr>
              <w:t>TN-062  Sustainability Reporting and ESG Data Control Procedure</w:t>
            </w:r>
          </w:p>
        </w:tc>
        <w:tc>
          <w:tcPr>
            <w:tcW w:type="dxa" w:w="1843"/>
            <w:vAlign w:val="center"/>
            <w:tcMar>
              <w:top w:w="85" w:type="dxa"/>
              <w:left w:w="100" w:type="dxa"/>
              <w:bottom w:w="85" w:type="dxa"/>
              <w:right w:w="100" w:type="dxa"/>
            </w:tcMar>
            <w:shd w:fill="EAF5DF"/>
          </w:tcPr>
          <w:p>
            <w:pPr>
              <w:spacing w:after="0" w:line="247" w:lineRule="auto"/>
            </w:pPr>
            <w:r>
              <w:rPr>
                <w:rFonts w:ascii="Arial" w:hAnsi="Arial"/>
                <w:b w:val="0"/>
                <w:color w:val="222222"/>
                <w:sz w:val="21"/>
              </w:rPr>
              <w:t>Sustainability / Finance</w:t>
            </w:r>
          </w:p>
        </w:tc>
        <w:tc>
          <w:tcPr>
            <w:tcW w:type="dxa" w:w="5429"/>
            <w:vAlign w:val="center"/>
            <w:tcMar>
              <w:top w:w="85" w:type="dxa"/>
              <w:left w:w="100" w:type="dxa"/>
              <w:bottom w:w="85" w:type="dxa"/>
              <w:right w:w="100" w:type="dxa"/>
            </w:tcMar>
            <w:shd w:fill="EAF5DF"/>
          </w:tcPr>
          <w:p>
            <w:pPr>
              <w:spacing w:after="0" w:line="247" w:lineRule="auto"/>
            </w:pPr>
            <w:r>
              <w:rPr>
                <w:rFonts w:ascii="Arial" w:hAnsi="Arial"/>
                <w:b w:val="0"/>
                <w:color w:val="222222"/>
                <w:sz w:val="21"/>
              </w:rPr>
              <w:t>Environmental, social and governance metrics, reporting boundaries, data owners, calculation methods, evidence checks, approvals and assurance-ready disclosures.</w:t>
            </w:r>
          </w:p>
        </w:tc>
      </w:tr>
    </w:tbl>
    <w:p>
      <w:r>
        <w:br w:type="page"/>
      </w:r>
    </w:p>
    <w:p>
      <w:pPr>
        <w:keepNext w:val="0"/>
        <w:spacing w:before="0" w:after="80" w:line="259" w:lineRule="auto"/>
      </w:pPr>
      <w:r>
        <w:rPr>
          <w:rFonts w:ascii="Arial" w:hAnsi="Arial"/>
          <w:b/>
          <w:color w:val="3D763E"/>
          <w:sz w:val="18"/>
        </w:rPr>
        <w:t>CATALOGUE  08 / 10     |     11 DOCUMENTS</w:t>
      </w:r>
    </w:p>
    <w:p>
      <w:pPr>
        <w:pStyle w:val="Heading1"/>
        <w:keepNext/>
        <w:spacing w:before="240" w:after="200" w:line="259" w:lineRule="auto"/>
        <w:shd w:fill="EAF5DF"/>
        <w:ind w:left="173" w:right="115"/>
        <w:pBdr>
          <w:top w:val="single" w:sz="1" w:space="7" w:color="EAF5DF"/>
          <w:bottom w:val="single" w:sz="1" w:space="7" w:color="EAF5DF"/>
        </w:pBdr>
      </w:pPr>
      <w:r>
        <w:rPr>
          <w:rFonts w:ascii="Arial" w:hAnsi="Arial"/>
          <w:b/>
          <w:color w:val="3D763E"/>
          <w:sz w:val="34"/>
        </w:rPr>
        <w:t>Environment communities and closure continued</w:t>
      </w:r>
    </w:p>
    <w:p>
      <w:pPr>
        <w:keepNext w:val="0"/>
        <w:spacing w:before="0" w:after="220" w:line="259" w:lineRule="auto"/>
      </w:pPr>
      <w:r>
        <w:rPr>
          <w:rFonts w:ascii="Arial" w:hAnsi="Arial"/>
          <w:b w:val="0"/>
          <w:color w:val="555555"/>
          <w:sz w:val="22"/>
        </w:rPr>
        <w:t>Responsible management throughout the asset lifecycle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53"/>
        <w:gridCol w:w="1843"/>
        <w:gridCol w:w="5429"/>
      </w:tblGrid>
      <w:tr>
        <w:trPr>
          <w:tblHeader/>
          <w:cantSplit/>
        </w:trPr>
        <w:tc>
          <w:tcPr>
            <w:tcW w:type="dxa" w:w="3053"/>
            <w:vAlign w:val="center"/>
            <w:tcMar>
              <w:top w:w="100" w:type="dxa"/>
              <w:left w:w="100" w:type="dxa"/>
              <w:bottom w:w="100" w:type="dxa"/>
              <w:right w:w="100" w:type="dxa"/>
            </w:tcMar>
            <w:shd w:fill="3D763E"/>
          </w:tcPr>
          <w:p>
            <w:pPr>
              <w:spacing w:after="0" w:line="245" w:lineRule="auto"/>
            </w:pPr>
            <w:r>
              <w:rPr>
                <w:rFonts w:ascii="Arial" w:hAnsi="Arial"/>
                <w:b/>
                <w:color w:val="FFFFFF"/>
                <w:sz w:val="21"/>
              </w:rPr>
              <w:t>Document title</w:t>
            </w:r>
          </w:p>
        </w:tc>
        <w:tc>
          <w:tcPr>
            <w:tcW w:type="dxa" w:w="1843"/>
            <w:vAlign w:val="center"/>
            <w:tcMar>
              <w:top w:w="100" w:type="dxa"/>
              <w:left w:w="100" w:type="dxa"/>
              <w:bottom w:w="100" w:type="dxa"/>
              <w:right w:w="100" w:type="dxa"/>
            </w:tcMar>
            <w:shd w:fill="3D763E"/>
          </w:tcPr>
          <w:p>
            <w:pPr>
              <w:spacing w:after="0" w:line="245" w:lineRule="auto"/>
            </w:pPr>
            <w:r>
              <w:rPr>
                <w:rFonts w:ascii="Arial" w:hAnsi="Arial"/>
                <w:b/>
                <w:color w:val="FFFFFF"/>
                <w:sz w:val="21"/>
              </w:rPr>
              <w:t>Applicable departments</w:t>
            </w:r>
          </w:p>
        </w:tc>
        <w:tc>
          <w:tcPr>
            <w:tcW w:type="dxa" w:w="5429"/>
            <w:vAlign w:val="center"/>
            <w:tcMar>
              <w:top w:w="100" w:type="dxa"/>
              <w:left w:w="100" w:type="dxa"/>
              <w:bottom w:w="100" w:type="dxa"/>
              <w:right w:w="100" w:type="dxa"/>
            </w:tcMar>
            <w:shd w:fill="3D763E"/>
          </w:tcPr>
          <w:p>
            <w:pPr>
              <w:spacing w:after="0" w:line="245" w:lineRule="auto"/>
            </w:pPr>
            <w:r>
              <w:rPr>
                <w:rFonts w:ascii="Arial" w:hAnsi="Arial"/>
                <w:b/>
                <w:color w:val="FFFFFF"/>
                <w:sz w:val="21"/>
              </w:rPr>
              <w:t>What the document contains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TN-063  Community Engagement and Grievance Resolution Plan</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Community Relations</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Stakeholder mapping, accessible consultation, community commitments, local development priorities, grievance tracking, response times and feedback on agreed actions.</w:t>
            </w:r>
          </w:p>
        </w:tc>
      </w:tr>
      <w:tr>
        <w:trPr>
          <w:cantSplit/>
        </w:trPr>
        <w:tc>
          <w:tcPr>
            <w:tcW w:type="dxa" w:w="3053"/>
            <w:vAlign w:val="center"/>
            <w:tcMar>
              <w:top w:w="85" w:type="dxa"/>
              <w:left w:w="100" w:type="dxa"/>
              <w:bottom w:w="85" w:type="dxa"/>
              <w:right w:w="100" w:type="dxa"/>
            </w:tcMar>
            <w:shd w:fill="EAF5DF"/>
          </w:tcPr>
          <w:p>
            <w:pPr>
              <w:spacing w:after="0" w:line="247" w:lineRule="auto"/>
            </w:pPr>
            <w:r>
              <w:rPr>
                <w:rFonts w:ascii="Arial" w:hAnsi="Arial"/>
                <w:b/>
                <w:color w:val="222222"/>
                <w:sz w:val="21"/>
              </w:rPr>
              <w:t>TN-064  Land Access Cultural Heritage and Livelihoods Plan</w:t>
            </w:r>
          </w:p>
        </w:tc>
        <w:tc>
          <w:tcPr>
            <w:tcW w:type="dxa" w:w="1843"/>
            <w:vAlign w:val="center"/>
            <w:tcMar>
              <w:top w:w="85" w:type="dxa"/>
              <w:left w:w="100" w:type="dxa"/>
              <w:bottom w:w="85" w:type="dxa"/>
              <w:right w:w="100" w:type="dxa"/>
            </w:tcMar>
            <w:shd w:fill="EAF5DF"/>
          </w:tcPr>
          <w:p>
            <w:pPr>
              <w:spacing w:after="0" w:line="247" w:lineRule="auto"/>
            </w:pPr>
            <w:r>
              <w:rPr>
                <w:rFonts w:ascii="Arial" w:hAnsi="Arial"/>
                <w:b w:val="0"/>
                <w:color w:val="222222"/>
                <w:sz w:val="21"/>
              </w:rPr>
              <w:t>Social Performance / Legal</w:t>
            </w:r>
          </w:p>
        </w:tc>
        <w:tc>
          <w:tcPr>
            <w:tcW w:type="dxa" w:w="5429"/>
            <w:vAlign w:val="center"/>
            <w:tcMar>
              <w:top w:w="85" w:type="dxa"/>
              <w:left w:w="100" w:type="dxa"/>
              <w:bottom w:w="85" w:type="dxa"/>
              <w:right w:w="100" w:type="dxa"/>
            </w:tcMar>
            <w:shd w:fill="EAF5DF"/>
          </w:tcPr>
          <w:p>
            <w:pPr>
              <w:spacing w:after="0" w:line="247" w:lineRule="auto"/>
            </w:pPr>
            <w:r>
              <w:rPr>
                <w:rFonts w:ascii="Arial" w:hAnsi="Arial"/>
                <w:b w:val="0"/>
                <w:color w:val="222222"/>
                <w:sz w:val="21"/>
              </w:rPr>
              <w:t>Land-use agreements, heritage surveys, chance finds, affected livelihoods, compensation and resettlement safeguards, with consultation and documented commitments where applicable.</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TN-065  Closure Rehabilitation and Post Closure Management Plan</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Closure / Environment</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Progressive rehabilitation, care and maintenance, closure designs, cost estimates, financial provision, workforce and community transition, monitoring and relinquishment criteria.</w:t>
            </w:r>
          </w:p>
        </w:tc>
      </w:tr>
      <w:tr>
        <w:trPr>
          <w:cantSplit/>
        </w:trPr>
        <w:tc>
          <w:tcPr>
            <w:tcW w:type="dxa" w:w="3053"/>
            <w:vAlign w:val="center"/>
            <w:tcMar>
              <w:top w:w="85" w:type="dxa"/>
              <w:left w:w="100" w:type="dxa"/>
              <w:bottom w:w="85" w:type="dxa"/>
              <w:right w:w="100" w:type="dxa"/>
            </w:tcMar>
            <w:shd w:fill="EAF5DF"/>
          </w:tcPr>
          <w:p>
            <w:pPr>
              <w:spacing w:after="0" w:line="247" w:lineRule="auto"/>
            </w:pPr>
            <w:r>
              <w:rPr>
                <w:rFonts w:ascii="Arial" w:hAnsi="Arial"/>
                <w:b/>
                <w:color w:val="222222"/>
                <w:sz w:val="21"/>
              </w:rPr>
              <w:t>TN-095  Biodiversity and Habitat Management Plan</w:t>
            </w:r>
          </w:p>
        </w:tc>
        <w:tc>
          <w:tcPr>
            <w:tcW w:type="dxa" w:w="1843"/>
            <w:vAlign w:val="center"/>
            <w:tcMar>
              <w:top w:w="85" w:type="dxa"/>
              <w:left w:w="100" w:type="dxa"/>
              <w:bottom w:w="85" w:type="dxa"/>
              <w:right w:w="100" w:type="dxa"/>
            </w:tcMar>
            <w:shd w:fill="EAF5DF"/>
          </w:tcPr>
          <w:p>
            <w:pPr>
              <w:spacing w:after="0" w:line="247" w:lineRule="auto"/>
            </w:pPr>
            <w:r>
              <w:rPr>
                <w:rFonts w:ascii="Arial" w:hAnsi="Arial"/>
                <w:b w:val="0"/>
                <w:color w:val="222222"/>
                <w:sz w:val="21"/>
              </w:rPr>
              <w:t>Environment / Projects / Closure</w:t>
            </w:r>
          </w:p>
        </w:tc>
        <w:tc>
          <w:tcPr>
            <w:tcW w:type="dxa" w:w="5429"/>
            <w:vAlign w:val="center"/>
            <w:tcMar>
              <w:top w:w="85" w:type="dxa"/>
              <w:left w:w="100" w:type="dxa"/>
              <w:bottom w:w="85" w:type="dxa"/>
              <w:right w:w="100" w:type="dxa"/>
            </w:tcMar>
            <w:shd w:fill="EAF5DF"/>
          </w:tcPr>
          <w:p>
            <w:pPr>
              <w:spacing w:after="0" w:line="247" w:lineRule="auto"/>
            </w:pPr>
            <w:r>
              <w:rPr>
                <w:rFonts w:ascii="Arial" w:hAnsi="Arial"/>
                <w:b w:val="0"/>
                <w:color w:val="222222"/>
                <w:sz w:val="21"/>
              </w:rPr>
              <w:t>Sensitive-habitat identification, disturbance avoidance, operational protection measures, rehabilitation objectives and ecological monitoring where biodiversity risks apply.</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TN-096  Acid and Metalliferous Drainage Management Plan</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Environment / Geochemistry / Mining</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Where geochemical risks apply: reactive-material characterisation, prevention measures, segregation controls, water monitoring and long-term treatment responsibilities.</w:t>
            </w:r>
          </w:p>
        </w:tc>
      </w:tr>
    </w:tbl>
    <w:p>
      <w:r>
        <w:br w:type="page"/>
      </w:r>
    </w:p>
    <w:p>
      <w:pPr>
        <w:keepNext w:val="0"/>
        <w:spacing w:before="0" w:after="80" w:line="259" w:lineRule="auto"/>
      </w:pPr>
      <w:r>
        <w:rPr>
          <w:rFonts w:ascii="Arial" w:hAnsi="Arial"/>
          <w:b/>
          <w:color w:val="6D51A2"/>
          <w:sz w:val="18"/>
        </w:rPr>
        <w:t>CATALOGUE  09 / 10     |     7 DOCUMENTS</w:t>
      </w:r>
    </w:p>
    <w:p>
      <w:pPr>
        <w:pStyle w:val="Heading1"/>
        <w:keepNext/>
        <w:spacing w:before="240" w:after="200" w:line="259" w:lineRule="auto"/>
        <w:shd w:fill="F0EAFA"/>
        <w:ind w:left="173" w:right="115"/>
        <w:pBdr>
          <w:top w:val="single" w:sz="1" w:space="7" w:color="F0EAFA"/>
          <w:bottom w:val="single" w:sz="1" w:space="7" w:color="F0EAFA"/>
        </w:pBdr>
      </w:pPr>
      <w:r>
        <w:rPr>
          <w:rFonts w:ascii="Arial" w:hAnsi="Arial"/>
          <w:b/>
          <w:color w:val="6D51A2"/>
          <w:sz w:val="34"/>
        </w:rPr>
        <w:t>Technology data and responsible automation</w:t>
      </w:r>
    </w:p>
    <w:p>
      <w:pPr>
        <w:keepNext w:val="0"/>
        <w:spacing w:before="0" w:after="220" w:line="259" w:lineRule="auto"/>
      </w:pPr>
      <w:r>
        <w:rPr>
          <w:rFonts w:ascii="Arial" w:hAnsi="Arial"/>
          <w:b w:val="0"/>
          <w:color w:val="555555"/>
          <w:sz w:val="22"/>
        </w:rPr>
        <w:t>Secure digital services and accountable use of information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53"/>
        <w:gridCol w:w="1843"/>
        <w:gridCol w:w="5429"/>
      </w:tblGrid>
      <w:tr>
        <w:trPr>
          <w:tblHeader/>
          <w:cantSplit/>
        </w:trPr>
        <w:tc>
          <w:tcPr>
            <w:tcW w:type="dxa" w:w="3053"/>
            <w:vAlign w:val="center"/>
            <w:tcMar>
              <w:top w:w="100" w:type="dxa"/>
              <w:left w:w="100" w:type="dxa"/>
              <w:bottom w:w="100" w:type="dxa"/>
              <w:right w:w="100" w:type="dxa"/>
            </w:tcMar>
            <w:shd w:fill="6D51A2"/>
          </w:tcPr>
          <w:p>
            <w:pPr>
              <w:spacing w:after="0" w:line="245" w:lineRule="auto"/>
            </w:pPr>
            <w:r>
              <w:rPr>
                <w:rFonts w:ascii="Arial" w:hAnsi="Arial"/>
                <w:b/>
                <w:color w:val="FFFFFF"/>
                <w:sz w:val="21"/>
              </w:rPr>
              <w:t>Document title</w:t>
            </w:r>
          </w:p>
        </w:tc>
        <w:tc>
          <w:tcPr>
            <w:tcW w:type="dxa" w:w="1843"/>
            <w:vAlign w:val="center"/>
            <w:tcMar>
              <w:top w:w="100" w:type="dxa"/>
              <w:left w:w="100" w:type="dxa"/>
              <w:bottom w:w="100" w:type="dxa"/>
              <w:right w:w="100" w:type="dxa"/>
            </w:tcMar>
            <w:shd w:fill="6D51A2"/>
          </w:tcPr>
          <w:p>
            <w:pPr>
              <w:spacing w:after="0" w:line="245" w:lineRule="auto"/>
            </w:pPr>
            <w:r>
              <w:rPr>
                <w:rFonts w:ascii="Arial" w:hAnsi="Arial"/>
                <w:b/>
                <w:color w:val="FFFFFF"/>
                <w:sz w:val="21"/>
              </w:rPr>
              <w:t>Applicable departments</w:t>
            </w:r>
          </w:p>
        </w:tc>
        <w:tc>
          <w:tcPr>
            <w:tcW w:type="dxa" w:w="5429"/>
            <w:vAlign w:val="center"/>
            <w:tcMar>
              <w:top w:w="100" w:type="dxa"/>
              <w:left w:w="100" w:type="dxa"/>
              <w:bottom w:w="100" w:type="dxa"/>
              <w:right w:w="100" w:type="dxa"/>
            </w:tcMar>
            <w:shd w:fill="6D51A2"/>
          </w:tcPr>
          <w:p>
            <w:pPr>
              <w:spacing w:after="0" w:line="245" w:lineRule="auto"/>
            </w:pPr>
            <w:r>
              <w:rPr>
                <w:rFonts w:ascii="Arial" w:hAnsi="Arial"/>
                <w:b/>
                <w:color w:val="FFFFFF"/>
                <w:sz w:val="21"/>
              </w:rPr>
              <w:t>What the document contains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TN-066  Business Cybersecurity and Access Control Policy</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IT / Cybersecurity</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Identity management, multifactor authentication, access reviews, device protection, vulnerability management, phishing awareness, third-party access and cyber incident response.</w:t>
            </w:r>
          </w:p>
        </w:tc>
      </w:tr>
      <w:tr>
        <w:trPr>
          <w:cantSplit/>
        </w:trPr>
        <w:tc>
          <w:tcPr>
            <w:tcW w:type="dxa" w:w="3053"/>
            <w:vAlign w:val="center"/>
            <w:tcMar>
              <w:top w:w="85" w:type="dxa"/>
              <w:left w:w="100" w:type="dxa"/>
              <w:bottom w:w="85" w:type="dxa"/>
              <w:right w:w="100" w:type="dxa"/>
            </w:tcMar>
            <w:shd w:fill="F0EAFA"/>
          </w:tcPr>
          <w:p>
            <w:pPr>
              <w:spacing w:after="0" w:line="247" w:lineRule="auto"/>
            </w:pPr>
            <w:r>
              <w:rPr>
                <w:rFonts w:ascii="Arial" w:hAnsi="Arial"/>
                <w:b/>
                <w:color w:val="222222"/>
                <w:sz w:val="21"/>
              </w:rPr>
              <w:t>TN-067  Operational Technology and Automation Security Standard</w:t>
            </w:r>
          </w:p>
        </w:tc>
        <w:tc>
          <w:tcPr>
            <w:tcW w:type="dxa" w:w="1843"/>
            <w:vAlign w:val="center"/>
            <w:tcMar>
              <w:top w:w="85" w:type="dxa"/>
              <w:left w:w="100" w:type="dxa"/>
              <w:bottom w:w="85" w:type="dxa"/>
              <w:right w:w="100" w:type="dxa"/>
            </w:tcMar>
            <w:shd w:fill="F0EAFA"/>
          </w:tcPr>
          <w:p>
            <w:pPr>
              <w:spacing w:after="0" w:line="247" w:lineRule="auto"/>
            </w:pPr>
            <w:r>
              <w:rPr>
                <w:rFonts w:ascii="Arial" w:hAnsi="Arial"/>
                <w:b w:val="0"/>
                <w:color w:val="222222"/>
                <w:sz w:val="21"/>
              </w:rPr>
              <w:t>OT / Control Engineering</w:t>
            </w:r>
          </w:p>
        </w:tc>
        <w:tc>
          <w:tcPr>
            <w:tcW w:type="dxa" w:w="5429"/>
            <w:vAlign w:val="center"/>
            <w:tcMar>
              <w:top w:w="85" w:type="dxa"/>
              <w:left w:w="100" w:type="dxa"/>
              <w:bottom w:w="85" w:type="dxa"/>
              <w:right w:w="100" w:type="dxa"/>
            </w:tcMar>
            <w:shd w:fill="F0EAFA"/>
          </w:tcPr>
          <w:p>
            <w:pPr>
              <w:spacing w:after="0" w:line="247" w:lineRule="auto"/>
            </w:pPr>
            <w:r>
              <w:rPr>
                <w:rFonts w:ascii="Arial" w:hAnsi="Arial"/>
                <w:b w:val="0"/>
                <w:color w:val="222222"/>
                <w:sz w:val="21"/>
              </w:rPr>
              <w:t>Industrial-system inventories, network separation, remote vendor access, secure configuration, change testing, safety interfaces and recovery of control-system services.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TN-068  Privacy Data Governance and Information Sharing Policy</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Data Governance / Legal</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Personal-data handling, classification, data ownership, quality rules, access, retention, cross-border sharing and secure exchange with suppliers and service providers.</w:t>
            </w:r>
          </w:p>
        </w:tc>
      </w:tr>
      <w:tr>
        <w:trPr>
          <w:cantSplit/>
        </w:trPr>
        <w:tc>
          <w:tcPr>
            <w:tcW w:type="dxa" w:w="3053"/>
            <w:vAlign w:val="center"/>
            <w:tcMar>
              <w:top w:w="85" w:type="dxa"/>
              <w:left w:w="100" w:type="dxa"/>
              <w:bottom w:w="85" w:type="dxa"/>
              <w:right w:w="100" w:type="dxa"/>
            </w:tcMar>
            <w:shd w:fill="F0EAFA"/>
          </w:tcPr>
          <w:p>
            <w:pPr>
              <w:spacing w:after="0" w:line="247" w:lineRule="auto"/>
            </w:pPr>
            <w:r>
              <w:rPr>
                <w:rFonts w:ascii="Arial" w:hAnsi="Arial"/>
                <w:b/>
                <w:color w:val="222222"/>
                <w:sz w:val="21"/>
              </w:rPr>
              <w:t>TN-069  Responsible AI and Digital Innovation Policy</w:t>
            </w:r>
          </w:p>
        </w:tc>
        <w:tc>
          <w:tcPr>
            <w:tcW w:type="dxa" w:w="1843"/>
            <w:vAlign w:val="center"/>
            <w:tcMar>
              <w:top w:w="85" w:type="dxa"/>
              <w:left w:w="100" w:type="dxa"/>
              <w:bottom w:w="85" w:type="dxa"/>
              <w:right w:w="100" w:type="dxa"/>
            </w:tcMar>
            <w:shd w:fill="F0EAFA"/>
          </w:tcPr>
          <w:p>
            <w:pPr>
              <w:spacing w:after="0" w:line="247" w:lineRule="auto"/>
            </w:pPr>
            <w:r>
              <w:rPr>
                <w:rFonts w:ascii="Arial" w:hAnsi="Arial"/>
                <w:b w:val="0"/>
                <w:color w:val="222222"/>
                <w:sz w:val="21"/>
              </w:rPr>
              <w:t>Digital / Risk</w:t>
            </w:r>
          </w:p>
        </w:tc>
        <w:tc>
          <w:tcPr>
            <w:tcW w:type="dxa" w:w="5429"/>
            <w:vAlign w:val="center"/>
            <w:tcMar>
              <w:top w:w="85" w:type="dxa"/>
              <w:left w:w="100" w:type="dxa"/>
              <w:bottom w:w="85" w:type="dxa"/>
              <w:right w:w="100" w:type="dxa"/>
            </w:tcMar>
            <w:shd w:fill="F0EAFA"/>
          </w:tcPr>
          <w:p>
            <w:pPr>
              <w:spacing w:after="0" w:line="247" w:lineRule="auto"/>
            </w:pPr>
            <w:r>
              <w:rPr>
                <w:rFonts w:ascii="Arial" w:hAnsi="Arial"/>
                <w:b w:val="0"/>
                <w:color w:val="222222"/>
                <w:sz w:val="21"/>
              </w:rPr>
              <w:t>Approved AI uses, sensitive-data restrictions, human oversight, output validation, bias assessment, supplier review and monitoring of automated business decisions.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TN-070  Digital Service Change and Recovery Procedure</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IT / Business systems</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Service support, cloud-provider controls, business-system changes, integration testing, master-data updates, backups, restoration tests and recovery targets.</w:t>
            </w:r>
          </w:p>
        </w:tc>
      </w:tr>
      <w:tr>
        <w:trPr>
          <w:cantSplit/>
        </w:trPr>
        <w:tc>
          <w:tcPr>
            <w:tcW w:type="dxa" w:w="3053"/>
            <w:vAlign w:val="center"/>
            <w:tcMar>
              <w:top w:w="85" w:type="dxa"/>
              <w:left w:w="100" w:type="dxa"/>
              <w:bottom w:w="85" w:type="dxa"/>
              <w:right w:w="100" w:type="dxa"/>
            </w:tcMar>
            <w:shd w:fill="F0EAFA"/>
          </w:tcPr>
          <w:p>
            <w:pPr>
              <w:spacing w:after="0" w:line="247" w:lineRule="auto"/>
            </w:pPr>
            <w:r>
              <w:rPr>
                <w:rFonts w:ascii="Arial" w:hAnsi="Arial"/>
                <w:b/>
                <w:color w:val="222222"/>
                <w:sz w:val="21"/>
              </w:rPr>
              <w:t>TN-098  Technology Supplier Assurance and Cloud Exit Procedure</w:t>
            </w:r>
          </w:p>
        </w:tc>
        <w:tc>
          <w:tcPr>
            <w:tcW w:type="dxa" w:w="1843"/>
            <w:vAlign w:val="center"/>
            <w:tcMar>
              <w:top w:w="85" w:type="dxa"/>
              <w:left w:w="100" w:type="dxa"/>
              <w:bottom w:w="85" w:type="dxa"/>
              <w:right w:w="100" w:type="dxa"/>
            </w:tcMar>
            <w:shd w:fill="F0EAFA"/>
          </w:tcPr>
          <w:p>
            <w:pPr>
              <w:spacing w:after="0" w:line="247" w:lineRule="auto"/>
            </w:pPr>
            <w:r>
              <w:rPr>
                <w:rFonts w:ascii="Arial" w:hAnsi="Arial"/>
                <w:b w:val="0"/>
                <w:color w:val="222222"/>
                <w:sz w:val="21"/>
              </w:rPr>
              <w:t>IT / Procurement / Legal</w:t>
            </w:r>
          </w:p>
        </w:tc>
        <w:tc>
          <w:tcPr>
            <w:tcW w:type="dxa" w:w="5429"/>
            <w:vAlign w:val="center"/>
            <w:tcMar>
              <w:top w:w="85" w:type="dxa"/>
              <w:left w:w="100" w:type="dxa"/>
              <w:bottom w:w="85" w:type="dxa"/>
              <w:right w:w="100" w:type="dxa"/>
            </w:tcMar>
            <w:shd w:fill="F0EAFA"/>
          </w:tcPr>
          <w:p>
            <w:pPr>
              <w:spacing w:after="0" w:line="247" w:lineRule="auto"/>
            </w:pPr>
            <w:r>
              <w:rPr>
                <w:rFonts w:ascii="Arial" w:hAnsi="Arial"/>
                <w:b w:val="0"/>
                <w:color w:val="222222"/>
                <w:sz w:val="21"/>
              </w:rPr>
              <w:t>Technology-supplier security checks, service dependencies, contractual assurance, data ownership, portability, transition testing and secure exit arrangements.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TN-099  Spreadsheet and Business Model Control Standard</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Finance / Planning / IT / All departments</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Critical spreadsheet and model inventories, accountable owners, formula validation, access controls, version management and independent review before consequential use.</w:t>
            </w:r>
          </w:p>
        </w:tc>
      </w:tr>
    </w:tbl>
    <w:p>
      <w:pPr>
        <w:pStyle w:val="Heading1"/>
        <w:keepNext/>
        <w:spacing w:before="240" w:after="200" w:line="259" w:lineRule="auto"/>
        <w:shd w:fill="F0EAFA"/>
        <w:ind w:left="173" w:right="115"/>
        <w:pBdr>
          <w:top w:val="single" w:sz="1" w:space="7" w:color="F0EAFA"/>
          <w:bottom w:val="single" w:sz="1" w:space="7" w:color="F0EAFA"/>
        </w:pBdr>
      </w:pPr>
      <w:r>
        <w:rPr>
          <w:rFonts w:ascii="Arial" w:hAnsi="Arial"/>
          <w:b/>
          <w:color w:val="6D51A2"/>
          <w:sz w:val="34"/>
        </w:rPr>
        <w:t>Designed for everyday digital use</w:t>
      </w:r>
    </w:p>
    <w:p>
      <w:pPr>
        <w:keepNext w:val="0"/>
        <w:spacing w:before="0" w:after="140" w:line="259" w:lineRule="auto"/>
      </w:pPr>
      <w:r>
        <w:rPr>
          <w:rFonts w:ascii="Arial" w:hAnsi="Arial"/>
          <w:b w:val="0"/>
          <w:color w:val="222222"/>
          <w:sz w:val="21"/>
        </w:rPr>
        <w:t>The digital controls above support the whole catalogue. A published document should have an owner, version, approval date and review date, with staff able to find the current instruction at the point of work. Offline copies, system access and changes also need clear controls.</w:t>
      </w:r>
    </w:p>
    <w:p>
      <w:pPr>
        <w:keepNext w:val="0"/>
        <w:spacing w:before="0" w:after="140" w:line="259" w:lineRule="auto"/>
      </w:pPr>
      <w:r>
        <w:rPr>
          <w:rFonts w:ascii="Arial" w:hAnsi="Arial"/>
          <w:b w:val="0"/>
          <w:color w:val="555555"/>
          <w:sz w:val="19"/>
        </w:rPr>
        <w:t>IT means information technology. OT means operational technology, including plant control systems. AI means artificial intelligence.</w:t>
      </w:r>
    </w:p>
    <w:p>
      <w:r>
        <w:br w:type="page"/>
      </w:r>
    </w:p>
    <w:p>
      <w:pPr>
        <w:keepNext w:val="0"/>
        <w:spacing w:before="0" w:after="80" w:line="259" w:lineRule="auto"/>
      </w:pPr>
      <w:r>
        <w:rPr>
          <w:rFonts w:ascii="Arial" w:hAnsi="Arial"/>
          <w:b/>
          <w:color w:val="276D83"/>
          <w:sz w:val="18"/>
        </w:rPr>
        <w:t>CATALOGUE  10 / 10     |     6 DOCUMENTS</w:t>
      </w:r>
    </w:p>
    <w:p>
      <w:pPr>
        <w:pStyle w:val="Heading1"/>
        <w:keepNext/>
        <w:spacing w:before="240" w:after="200" w:line="259" w:lineRule="auto"/>
        <w:shd w:fill="E2F5FC"/>
        <w:ind w:left="173" w:right="115"/>
        <w:pBdr>
          <w:top w:val="single" w:sz="1" w:space="7" w:color="E2F5FC"/>
          <w:bottom w:val="single" w:sz="1" w:space="7" w:color="E2F5FC"/>
        </w:pBdr>
      </w:pPr>
      <w:r>
        <w:rPr>
          <w:rFonts w:ascii="Arial" w:hAnsi="Arial"/>
          <w:b/>
          <w:color w:val="276D83"/>
          <w:sz w:val="34"/>
        </w:rPr>
        <w:t>Markets communications and business services</w:t>
      </w:r>
    </w:p>
    <w:p>
      <w:pPr>
        <w:keepNext w:val="0"/>
        <w:spacing w:before="0" w:after="220" w:line="259" w:lineRule="auto"/>
      </w:pPr>
      <w:r>
        <w:rPr>
          <w:rFonts w:ascii="Arial" w:hAnsi="Arial"/>
          <w:b w:val="0"/>
          <w:color w:val="555555"/>
          <w:sz w:val="22"/>
        </w:rPr>
        <w:t>Commercial relationships and support for everyday delivery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53"/>
        <w:gridCol w:w="1843"/>
        <w:gridCol w:w="5429"/>
      </w:tblGrid>
      <w:tr>
        <w:trPr>
          <w:tblHeader/>
          <w:cantSplit/>
        </w:trPr>
        <w:tc>
          <w:tcPr>
            <w:tcW w:type="dxa" w:w="3053"/>
            <w:vAlign w:val="center"/>
            <w:tcMar>
              <w:top w:w="100" w:type="dxa"/>
              <w:left w:w="100" w:type="dxa"/>
              <w:bottom w:w="100" w:type="dxa"/>
              <w:right w:w="100" w:type="dxa"/>
            </w:tcMar>
            <w:shd w:fill="276D83"/>
          </w:tcPr>
          <w:p>
            <w:pPr>
              <w:spacing w:after="0" w:line="245" w:lineRule="auto"/>
            </w:pPr>
            <w:r>
              <w:rPr>
                <w:rFonts w:ascii="Arial" w:hAnsi="Arial"/>
                <w:b/>
                <w:color w:val="FFFFFF"/>
                <w:sz w:val="21"/>
              </w:rPr>
              <w:t>Document title</w:t>
            </w:r>
          </w:p>
        </w:tc>
        <w:tc>
          <w:tcPr>
            <w:tcW w:type="dxa" w:w="1843"/>
            <w:vAlign w:val="center"/>
            <w:tcMar>
              <w:top w:w="100" w:type="dxa"/>
              <w:left w:w="100" w:type="dxa"/>
              <w:bottom w:w="100" w:type="dxa"/>
              <w:right w:w="100" w:type="dxa"/>
            </w:tcMar>
            <w:shd w:fill="276D83"/>
          </w:tcPr>
          <w:p>
            <w:pPr>
              <w:spacing w:after="0" w:line="245" w:lineRule="auto"/>
            </w:pPr>
            <w:r>
              <w:rPr>
                <w:rFonts w:ascii="Arial" w:hAnsi="Arial"/>
                <w:b/>
                <w:color w:val="FFFFFF"/>
                <w:sz w:val="21"/>
              </w:rPr>
              <w:t>Applicable departments</w:t>
            </w:r>
          </w:p>
        </w:tc>
        <w:tc>
          <w:tcPr>
            <w:tcW w:type="dxa" w:w="5429"/>
            <w:vAlign w:val="center"/>
            <w:tcMar>
              <w:top w:w="100" w:type="dxa"/>
              <w:left w:w="100" w:type="dxa"/>
              <w:bottom w:w="100" w:type="dxa"/>
              <w:right w:w="100" w:type="dxa"/>
            </w:tcMar>
            <w:shd w:fill="276D83"/>
          </w:tcPr>
          <w:p>
            <w:pPr>
              <w:spacing w:after="0" w:line="245" w:lineRule="auto"/>
            </w:pPr>
            <w:r>
              <w:rPr>
                <w:rFonts w:ascii="Arial" w:hAnsi="Arial"/>
                <w:b/>
                <w:color w:val="FFFFFF"/>
                <w:sz w:val="21"/>
              </w:rPr>
              <w:t>What the document contains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TN-071  Sales Bids and Customer Contracting Procedure</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Sales / Business Development</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Opportunity qualification, bid approvals, pricing, customer due diligence, product or offtake terms, delivery commitments and handover of won work.</w:t>
            </w:r>
          </w:p>
        </w:tc>
      </w:tr>
      <w:tr>
        <w:trPr>
          <w:cantSplit/>
        </w:trPr>
        <w:tc>
          <w:tcPr>
            <w:tcW w:type="dxa" w:w="3053"/>
            <w:vAlign w:val="center"/>
            <w:tcMar>
              <w:top w:w="85" w:type="dxa"/>
              <w:left w:w="100" w:type="dxa"/>
              <w:bottom w:w="85" w:type="dxa"/>
              <w:right w:w="100" w:type="dxa"/>
            </w:tcMar>
            <w:shd w:fill="E2F5FC"/>
          </w:tcPr>
          <w:p>
            <w:pPr>
              <w:spacing w:after="0" w:line="247" w:lineRule="auto"/>
            </w:pPr>
            <w:r>
              <w:rPr>
                <w:rFonts w:ascii="Arial" w:hAnsi="Arial"/>
                <w:b/>
                <w:color w:val="222222"/>
                <w:sz w:val="21"/>
              </w:rPr>
              <w:t>TN-072  Brand Marketing and Corporate Communications Policy</w:t>
            </w:r>
          </w:p>
        </w:tc>
        <w:tc>
          <w:tcPr>
            <w:tcW w:type="dxa" w:w="1843"/>
            <w:vAlign w:val="center"/>
            <w:tcMar>
              <w:top w:w="85" w:type="dxa"/>
              <w:left w:w="100" w:type="dxa"/>
              <w:bottom w:w="85" w:type="dxa"/>
              <w:right w:w="100" w:type="dxa"/>
            </w:tcMar>
            <w:shd w:fill="E2F5FC"/>
          </w:tcPr>
          <w:p>
            <w:pPr>
              <w:spacing w:after="0" w:line="247" w:lineRule="auto"/>
            </w:pPr>
            <w:r>
              <w:rPr>
                <w:rFonts w:ascii="Arial" w:hAnsi="Arial"/>
                <w:b w:val="0"/>
                <w:color w:val="222222"/>
                <w:sz w:val="21"/>
              </w:rPr>
              <w:t>Marketing / Corporate Affairs</w:t>
            </w:r>
          </w:p>
        </w:tc>
        <w:tc>
          <w:tcPr>
            <w:tcW w:type="dxa" w:w="5429"/>
            <w:vAlign w:val="center"/>
            <w:tcMar>
              <w:top w:w="85" w:type="dxa"/>
              <w:left w:w="100" w:type="dxa"/>
              <w:bottom w:w="85" w:type="dxa"/>
              <w:right w:w="100" w:type="dxa"/>
            </w:tcMar>
            <w:shd w:fill="E2F5FC"/>
          </w:tcPr>
          <w:p>
            <w:pPr>
              <w:spacing w:after="0" w:line="247" w:lineRule="auto"/>
            </w:pPr>
            <w:r>
              <w:rPr>
                <w:rFonts w:ascii="Arial" w:hAnsi="Arial"/>
                <w:b w:val="0"/>
                <w:color w:val="222222"/>
                <w:sz w:val="21"/>
              </w:rPr>
              <w:t>Brand use, digital channels, campaign approvals, substantiated claims, media protocols, investor communication and protection of confidential commercial information.</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TN-073  Customer Service and Product Stewardship Procedure</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Customer Service / Technical</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Customer enquiries, complaints, product specifications, safety information, traceability, responsible use guidance and escalation of product quality or safety concerns.</w:t>
            </w:r>
          </w:p>
        </w:tc>
      </w:tr>
      <w:tr>
        <w:trPr>
          <w:cantSplit/>
        </w:trPr>
        <w:tc>
          <w:tcPr>
            <w:tcW w:type="dxa" w:w="3053"/>
            <w:vAlign w:val="center"/>
            <w:tcMar>
              <w:top w:w="85" w:type="dxa"/>
              <w:left w:w="100" w:type="dxa"/>
              <w:bottom w:w="85" w:type="dxa"/>
              <w:right w:w="100" w:type="dxa"/>
            </w:tcMar>
            <w:shd w:fill="E2F5FC"/>
          </w:tcPr>
          <w:p>
            <w:pPr>
              <w:spacing w:after="0" w:line="247" w:lineRule="auto"/>
            </w:pPr>
            <w:r>
              <w:rPr>
                <w:rFonts w:ascii="Arial" w:hAnsi="Arial"/>
                <w:b/>
                <w:color w:val="222222"/>
                <w:sz w:val="21"/>
              </w:rPr>
              <w:t>TN-074  Facilities Accommodation and Site Services Procedure</w:t>
            </w:r>
          </w:p>
        </w:tc>
        <w:tc>
          <w:tcPr>
            <w:tcW w:type="dxa" w:w="1843"/>
            <w:vAlign w:val="center"/>
            <w:tcMar>
              <w:top w:w="85" w:type="dxa"/>
              <w:left w:w="100" w:type="dxa"/>
              <w:bottom w:w="85" w:type="dxa"/>
              <w:right w:w="100" w:type="dxa"/>
            </w:tcMar>
            <w:shd w:fill="E2F5FC"/>
          </w:tcPr>
          <w:p>
            <w:pPr>
              <w:spacing w:after="0" w:line="247" w:lineRule="auto"/>
            </w:pPr>
            <w:r>
              <w:rPr>
                <w:rFonts w:ascii="Arial" w:hAnsi="Arial"/>
                <w:b w:val="0"/>
                <w:color w:val="222222"/>
                <w:sz w:val="21"/>
              </w:rPr>
              <w:t>Facilities / Administration</w:t>
            </w:r>
          </w:p>
        </w:tc>
        <w:tc>
          <w:tcPr>
            <w:tcW w:type="dxa" w:w="5429"/>
            <w:vAlign w:val="center"/>
            <w:tcMar>
              <w:top w:w="85" w:type="dxa"/>
              <w:left w:w="100" w:type="dxa"/>
              <w:bottom w:w="85" w:type="dxa"/>
              <w:right w:w="100" w:type="dxa"/>
            </w:tcMar>
            <w:shd w:fill="E2F5FC"/>
          </w:tcPr>
          <w:p>
            <w:pPr>
              <w:spacing w:after="0" w:line="247" w:lineRule="auto"/>
            </w:pPr>
            <w:r>
              <w:rPr>
                <w:rFonts w:ascii="Arial" w:hAnsi="Arial"/>
                <w:b w:val="0"/>
                <w:color w:val="222222"/>
                <w:sz w:val="21"/>
              </w:rPr>
              <w:t>Building services, offices, worker accommodation, catering, sanitation, potable water, accessibility, service inspections and reporting of welfare or facility defects.</w:t>
            </w:r>
          </w:p>
        </w:tc>
      </w:tr>
      <w:tr>
        <w:trPr>
          <w:cantSplit/>
        </w:trPr>
        <w:tc>
          <w:tcPr>
            <w:tcW w:type="dxa" w:w="3053"/>
            <w:vAlign w:val="center"/>
            <w:tcMar>
              <w:top w:w="85" w:type="dxa"/>
              <w:left w:w="100" w:type="dxa"/>
              <w:bottom w:w="85" w:type="dxa"/>
              <w:right w:w="100" w:type="dxa"/>
            </w:tcMar>
          </w:tcPr>
          <w:p>
            <w:pPr>
              <w:spacing w:after="0" w:line="247" w:lineRule="auto"/>
            </w:pPr>
            <w:r>
              <w:rPr>
                <w:rFonts w:ascii="Arial" w:hAnsi="Arial"/>
                <w:b/>
                <w:color w:val="222222"/>
                <w:sz w:val="21"/>
              </w:rPr>
              <w:t>TN-075  Business Travel and Administrative Services Policy</w:t>
            </w:r>
          </w:p>
        </w:tc>
        <w:tc>
          <w:tcPr>
            <w:tcW w:type="dxa" w:w="1843"/>
            <w:vAlign w:val="center"/>
            <w:tcMar>
              <w:top w:w="85" w:type="dxa"/>
              <w:left w:w="100" w:type="dxa"/>
              <w:bottom w:w="85" w:type="dxa"/>
              <w:right w:w="100" w:type="dxa"/>
            </w:tcMar>
          </w:tcPr>
          <w:p>
            <w:pPr>
              <w:spacing w:after="0" w:line="247" w:lineRule="auto"/>
            </w:pPr>
            <w:r>
              <w:rPr>
                <w:rFonts w:ascii="Arial" w:hAnsi="Arial"/>
                <w:b w:val="0"/>
                <w:color w:val="222222"/>
                <w:sz w:val="21"/>
              </w:rPr>
              <w:t>Administration / HR</w:t>
            </w:r>
          </w:p>
        </w:tc>
        <w:tc>
          <w:tcPr>
            <w:tcW w:type="dxa" w:w="5429"/>
            <w:vAlign w:val="center"/>
            <w:tcMar>
              <w:top w:w="85" w:type="dxa"/>
              <w:left w:w="100" w:type="dxa"/>
              <w:bottom w:w="85" w:type="dxa"/>
              <w:right w:w="100" w:type="dxa"/>
            </w:tcMar>
          </w:tcPr>
          <w:p>
            <w:pPr>
              <w:spacing w:after="0" w:line="247" w:lineRule="auto"/>
            </w:pPr>
            <w:r>
              <w:rPr>
                <w:rFonts w:ascii="Arial" w:hAnsi="Arial"/>
                <w:b w:val="0"/>
                <w:color w:val="222222"/>
                <w:sz w:val="21"/>
              </w:rPr>
              <w:t>Travel booking, journey approval, company vehicle allocation, visitor coordination, expense rules, remote-work support and administrative service responsibilities.</w:t>
            </w:r>
          </w:p>
        </w:tc>
      </w:tr>
      <w:tr>
        <w:trPr>
          <w:cantSplit/>
        </w:trPr>
        <w:tc>
          <w:tcPr>
            <w:tcW w:type="dxa" w:w="3053"/>
            <w:vAlign w:val="center"/>
            <w:tcMar>
              <w:top w:w="85" w:type="dxa"/>
              <w:left w:w="100" w:type="dxa"/>
              <w:bottom w:w="85" w:type="dxa"/>
              <w:right w:w="100" w:type="dxa"/>
            </w:tcMar>
            <w:shd w:fill="E2F5FC"/>
          </w:tcPr>
          <w:p>
            <w:pPr>
              <w:spacing w:after="0" w:line="247" w:lineRule="auto"/>
            </w:pPr>
            <w:r>
              <w:rPr>
                <w:rFonts w:ascii="Arial" w:hAnsi="Arial"/>
                <w:b/>
                <w:color w:val="222222"/>
                <w:sz w:val="21"/>
              </w:rPr>
              <w:t>TN-100  CRM and Sales Pipeline Management Procedure</w:t>
            </w:r>
          </w:p>
        </w:tc>
        <w:tc>
          <w:tcPr>
            <w:tcW w:type="dxa" w:w="1843"/>
            <w:vAlign w:val="center"/>
            <w:tcMar>
              <w:top w:w="85" w:type="dxa"/>
              <w:left w:w="100" w:type="dxa"/>
              <w:bottom w:w="85" w:type="dxa"/>
              <w:right w:w="100" w:type="dxa"/>
            </w:tcMar>
            <w:shd w:fill="E2F5FC"/>
          </w:tcPr>
          <w:p>
            <w:pPr>
              <w:spacing w:after="0" w:line="247" w:lineRule="auto"/>
            </w:pPr>
            <w:r>
              <w:rPr>
                <w:rFonts w:ascii="Arial" w:hAnsi="Arial"/>
                <w:b w:val="0"/>
                <w:color w:val="222222"/>
                <w:sz w:val="21"/>
              </w:rPr>
              <w:t>Sales / Marketing / Business Development</w:t>
            </w:r>
          </w:p>
        </w:tc>
        <w:tc>
          <w:tcPr>
            <w:tcW w:type="dxa" w:w="5429"/>
            <w:vAlign w:val="center"/>
            <w:tcMar>
              <w:top w:w="85" w:type="dxa"/>
              <w:left w:w="100" w:type="dxa"/>
              <w:bottom w:w="85" w:type="dxa"/>
              <w:right w:w="100" w:type="dxa"/>
            </w:tcMar>
            <w:shd w:fill="E2F5FC"/>
          </w:tcPr>
          <w:p>
            <w:pPr>
              <w:spacing w:after="0" w:line="247" w:lineRule="auto"/>
            </w:pPr>
            <w:r>
              <w:rPr>
                <w:rFonts w:ascii="Arial" w:hAnsi="Arial"/>
                <w:b w:val="0"/>
                <w:color w:val="222222"/>
                <w:sz w:val="21"/>
              </w:rPr>
              <w:t>Lead ownership, follow-up expectations, opportunity stages, customer relationship records, forecast reviews and controlled handover between sales and delivery teams.</w:t>
            </w:r>
          </w:p>
        </w:tc>
      </w:tr>
    </w:tbl>
    <w:p>
      <w:pPr>
        <w:pStyle w:val="Heading1"/>
        <w:keepNext/>
        <w:spacing w:before="240" w:after="200" w:line="259" w:lineRule="auto"/>
        <w:shd w:fill="E2F5FC"/>
        <w:ind w:left="173" w:right="115"/>
        <w:pBdr>
          <w:top w:val="single" w:sz="1" w:space="7" w:color="E2F5FC"/>
          <w:bottom w:val="single" w:sz="1" w:space="7" w:color="E2F5FC"/>
        </w:pBdr>
      </w:pPr>
      <w:r>
        <w:rPr>
          <w:rFonts w:ascii="Arial" w:hAnsi="Arial"/>
          <w:b/>
          <w:color w:val="276D83"/>
          <w:sz w:val="34"/>
        </w:rPr>
        <w:t>Build the document set your business needs</w:t>
      </w:r>
    </w:p>
    <w:p>
      <w:pPr>
        <w:keepNext w:val="0"/>
        <w:spacing w:before="0" w:after="140" w:line="259" w:lineRule="auto"/>
      </w:pPr>
      <w:r>
        <w:rPr>
          <w:rFonts w:ascii="Arial" w:hAnsi="Arial"/>
          <w:b w:val="0"/>
          <w:color w:val="222222"/>
          <w:sz w:val="21"/>
        </w:rPr>
        <w:t>Discuss your priority departments and operating risks with Tara Nawa. A tailored scope can include editable policies, SOPs, plans, registers, checklists and role-specific forms, together with the review and approval arrangements needed to put them into use.</w:t>
      </w:r>
    </w:p>
    <w:p>
      <w:pPr>
        <w:keepNext w:val="0"/>
        <w:spacing w:before="0" w:after="120" w:line="259" w:lineRule="auto"/>
      </w:pPr>
      <w:hyperlink r:id="rId14">
        <w:r>
          <w:rPr>
            <w:color w:val="276D83"/>
            <w:sz w:val="21"/>
          </w:rPr>
          <w:t>www.taranawa.com</w:t>
        </w:r>
      </w:hyperlink>
      <w:r>
        <w:rPr>
          <w:rFonts w:ascii="Arial" w:hAnsi="Arial"/>
          <w:b w:val="0"/>
          <w:color w:val="222222"/>
          <w:sz w:val="21"/>
        </w:rPr>
        <w:t xml:space="preserve">  |  </w:t>
      </w:r>
      <w:hyperlink r:id="rId15">
        <w:r>
          <w:rPr>
            <w:color w:val="276D83"/>
            <w:sz w:val="21"/>
          </w:rPr>
          <w:t>elmo@taranawa.com</w:t>
        </w:r>
      </w:hyperlink>
      <w:r>
        <w:rPr>
          <w:rFonts w:ascii="Arial" w:hAnsi="Arial"/>
          <w:b w:val="0"/>
          <w:color w:val="222222"/>
          <w:sz w:val="21"/>
        </w:rPr>
        <w:t xml:space="preserve">  |  +264 81 128 6388</w:t>
      </w:r>
    </w:p>
    <w:p>
      <w:pPr>
        <w:keepNext w:val="0"/>
        <w:spacing w:before="0" w:after="120" w:line="259" w:lineRule="auto"/>
      </w:pPr>
      <w:hyperlink r:id="rId16">
        <w:r>
          <w:rPr>
            <w:color w:val="276D83"/>
            <w:sz w:val="20"/>
          </w:rPr>
          <w:t>Select documents and request a quotation online</w:t>
        </w:r>
      </w:hyperlink>
    </w:p>
    <w:p>
      <w:pPr>
        <w:keepNext w:val="0"/>
        <w:spacing w:before="160" w:after="60" w:line="259" w:lineRule="auto"/>
      </w:pPr>
      <w:r>
        <w:rPr>
          <w:rFonts w:ascii="Arial" w:hAnsi="Arial"/>
          <w:b/>
          <w:color w:val="222222"/>
          <w:sz w:val="18"/>
        </w:rPr>
        <w:t>Reference points for customisation</w:t>
      </w:r>
    </w:p>
    <w:p>
      <w:pPr>
        <w:keepNext w:val="0"/>
        <w:spacing w:before="0" w:after="60" w:line="259" w:lineRule="auto"/>
      </w:pPr>
      <w:hyperlink r:id="rId17">
        <w:r>
          <w:rPr>
            <w:color w:val="276D83"/>
            <w:sz w:val="17"/>
          </w:rPr>
          <w:t>NIST cybersecurity</w:t>
        </w:r>
      </w:hyperlink>
      <w:r>
        <w:rPr>
          <w:rFonts w:ascii="Arial" w:hAnsi="Arial"/>
          <w:b w:val="0"/>
          <w:color w:val="666666"/>
          <w:sz w:val="17"/>
        </w:rPr>
        <w:t xml:space="preserve">  |  </w:t>
      </w:r>
      <w:hyperlink r:id="rId18">
        <w:r>
          <w:rPr>
            <w:color w:val="276D83"/>
            <w:sz w:val="17"/>
          </w:rPr>
          <w:t>NIST responsible AI</w:t>
        </w:r>
      </w:hyperlink>
      <w:r>
        <w:rPr>
          <w:rFonts w:ascii="Arial" w:hAnsi="Arial"/>
          <w:b w:val="0"/>
          <w:color w:val="666666"/>
          <w:sz w:val="17"/>
        </w:rPr>
        <w:t xml:space="preserve">  |  </w:t>
      </w:r>
      <w:hyperlink r:id="rId19">
        <w:r>
          <w:rPr>
            <w:color w:val="276D83"/>
            <w:sz w:val="17"/>
          </w:rPr>
          <w:t>IFC environmental and social standards</w:t>
        </w:r>
      </w:hyperlink>
      <w:r>
        <w:rPr>
          <w:rFonts w:ascii="Arial" w:hAnsi="Arial"/>
          <w:b w:val="0"/>
          <w:color w:val="666666"/>
          <w:sz w:val="17"/>
        </w:rPr>
        <w:t xml:space="preserve">  |  </w:t>
      </w:r>
      <w:hyperlink r:id="rId20">
        <w:r>
          <w:rPr>
            <w:color w:val="276D83"/>
            <w:sz w:val="17"/>
          </w:rPr>
          <w:t>ICMM tailings guidance</w:t>
        </w:r>
      </w:hyperlink>
    </w:p>
    <w:p>
      <w:pPr>
        <w:keepNext w:val="0"/>
        <w:spacing w:before="0" w:after="0" w:line="259" w:lineRule="auto"/>
      </w:pPr>
      <w:r>
        <w:rPr>
          <w:rFonts w:ascii="Arial" w:hAnsi="Arial"/>
          <w:b w:val="0"/>
          <w:color w:val="666666"/>
          <w:sz w:val="17"/>
        </w:rPr>
        <w:t>These resources inform the catalogue themes. Their applicability and current editions are checked when each document is developed.</w:t>
      </w:r>
    </w:p>
    <w:sectPr w:rsidR="00FC693F" w:rsidRPr="0006063C" w:rsidSect="00034616">
      <w:headerReference w:type="default" r:id="rId9"/>
      <w:footerReference w:type="default" r:id="rId10"/>
      <w:footerReference w:type="first" r:id="rId11"/>
      <w:pgSz w:w="11910" w:h="16838"/>
      <w:pgMar w:top="1008" w:right="792" w:bottom="792" w:left="792" w:header="288" w:footer="31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325" w:val="right"/>
      </w:tabs>
      <w:spacing w:after="0"/>
    </w:pPr>
    <w:r>
      <w:rPr>
        <w:rFonts w:ascii="Arial" w:hAnsi="Arial"/>
        <w:b w:val="0"/>
        <w:color w:val="666666"/>
        <w:sz w:val="17"/>
      </w:rPr>
      <w:t>www.taranawa.com  |  Serving businesses worldwide</w:t>
    </w:r>
    <w:r>
      <w:rPr>
        <w:rFonts w:ascii="Arial" w:hAnsi="Arial"/>
        <w:b w:val="0"/>
        <w:color w:val="222222"/>
        <w:sz w:val="17"/>
      </w:rPr>
      <w:tab/>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325" w:val="right"/>
      </w:tabs>
      <w:spacing w:after="0"/>
    </w:pPr>
    <w:r>
      <w:rPr>
        <w:rFonts w:ascii="Arial" w:hAnsi="Arial"/>
        <w:b w:val="0"/>
        <w:color w:val="666666"/>
        <w:sz w:val="17"/>
      </w:rPr>
      <w:t>www.taranawa.com  |  Serving businesses worldwide</w:t>
    </w:r>
    <w:r>
      <w:rPr>
        <w:rFonts w:ascii="Arial" w:hAnsi="Arial"/>
        <w:b w:val="0"/>
        <w:color w:val="222222"/>
        <w:sz w:val="17"/>
      </w:rP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61" w:val="left"/>
      </w:tabs>
      <w:spacing w:after="0"/>
    </w:pPr>
    <w:r>
      <w:rPr>
        <w:rFonts w:ascii="Arial" w:hAnsi="Arial"/>
        <w:b/>
        <w:color w:val="174766"/>
        <w:sz w:val="18"/>
      </w:rPr>
      <w:t>TARA NAWA  |  COMPANY DOCUMENTS AND SOPs</w:t>
    </w:r>
    <w:r>
      <w:tab/>
      <w:drawing>
        <wp:inline xmlns:a="http://schemas.openxmlformats.org/drawingml/2006/main" xmlns:pic="http://schemas.openxmlformats.org/drawingml/2006/picture">
          <wp:extent cx="475488" cy="415045"/>
          <wp:docPr id="1" name="Picture 1"/>
          <wp:cNvGraphicFramePr>
            <a:graphicFrameLocks noChangeAspect="1"/>
          </wp:cNvGraphicFramePr>
          <a:graphic>
            <a:graphicData uri="http://schemas.openxmlformats.org/drawingml/2006/picture">
              <pic:pic>
                <pic:nvPicPr>
                  <pic:cNvPr id="0" name="ref-image-1.png"/>
                  <pic:cNvPicPr/>
                </pic:nvPicPr>
                <pic:blipFill>
                  <a:blip r:embed="rId1"/>
                  <a:stretch>
                    <a:fillRect/>
                  </a:stretch>
                </pic:blipFill>
                <pic:spPr>
                  <a:xfrm>
                    <a:off x="0" y="0"/>
                    <a:ext cx="475488" cy="415045"/>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222222"/>
      <w:sz w:val="22"/>
    </w:rPr>
  </w:style>
  <w:style w:type="paragraph" w:styleId="Header">
    <w:name w:val="header"/>
    <w:basedOn w:val="Normal"/>
    <w:link w:val="HeaderChar"/>
    <w:uiPriority w:val="99"/>
    <w:unhideWhenUsed/>
    <w:rsid w:val="00E618BF"/>
    <w:pPr>
      <w:spacing w:after="0" w:line="240" w:lineRule="auto"/>
    </w:pPr>
    <w:rPr>
      <w:rFonts w:ascii="Arial" w:hAnsi="Arial"/>
      <w:color w:val="2222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olor w:val="2222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747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2222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174766"/>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222222"/>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2.png"/><Relationship Id="rId13" Type="http://schemas.openxmlformats.org/officeDocument/2006/relationships/image" Target="media/image1.png"/><Relationship Id="rId14" Type="http://schemas.openxmlformats.org/officeDocument/2006/relationships/hyperlink" Target="https://www.taranawa.com" TargetMode="External"/><Relationship Id="rId15" Type="http://schemas.openxmlformats.org/officeDocument/2006/relationships/hyperlink" Target="mailto:elmo@taranawa.com" TargetMode="External"/><Relationship Id="rId16" Type="http://schemas.openxmlformats.org/officeDocument/2006/relationships/hyperlink" Target="https://taranawa-company-documents.elmosr.chatgpt.site/#quotation" TargetMode="External"/><Relationship Id="rId17" Type="http://schemas.openxmlformats.org/officeDocument/2006/relationships/hyperlink" Target="https://www.nist.gov/publications/nist-cybersecurity-framework-csf-20" TargetMode="External"/><Relationship Id="rId18" Type="http://schemas.openxmlformats.org/officeDocument/2006/relationships/hyperlink" Target="https://www.nist.gov/itl/ai-risk-management-framework" TargetMode="External"/><Relationship Id="rId19" Type="http://schemas.openxmlformats.org/officeDocument/2006/relationships/hyperlink" Target="https://www.ifc.org/en/insights-reports/2012/ifc-performance-standards" TargetMode="External"/><Relationship Id="rId20" Type="http://schemas.openxmlformats.org/officeDocument/2006/relationships/hyperlink" Target="https://hub.icmm.com/website/publications/pdfs/environmental-stewardship/2021/guidance_tailings-management.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Documents and SOP Catalogue for Businesses Worldwide</dc:title>
  <dc:subject>100 document titles with descriptions and applicable departments</dc:subject>
  <dc:creator>Tara Nawa</dc:creator>
  <cp:keywords>worldwide, all sectors, client branding, company documents, SOPs</cp:keywords>
  <dc:description/>
  <cp:lastModifiedBy/>
  <cp:revision>1</cp:revision>
  <dcterms:created xsi:type="dcterms:W3CDTF">2013-12-23T23:15:00Z</dcterms:created>
  <dcterms:modified xsi:type="dcterms:W3CDTF">2013-12-23T23:15:00Z</dcterms:modified>
  <cp:category/>
</cp:coreProperties>
</file>